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270" w:rsidRDefault="00C93270" w:rsidP="00E34418">
      <w:pPr>
        <w:rPr>
          <w:rFonts w:ascii="Arial" w:hAnsi="Arial" w:cs="Arial"/>
          <w:b/>
          <w:sz w:val="20"/>
          <w:szCs w:val="20"/>
          <w:lang w:val="en-GB"/>
        </w:rPr>
      </w:pPr>
      <w:r>
        <w:rPr>
          <w:rFonts w:ascii="Arial" w:hAnsi="Arial" w:cs="Arial"/>
          <w:b/>
          <w:sz w:val="20"/>
          <w:szCs w:val="20"/>
          <w:lang w:val="en-GB"/>
        </w:rPr>
        <w:t>EV Template</w:t>
      </w:r>
    </w:p>
    <w:p w:rsidR="00C93270" w:rsidRDefault="00C93270" w:rsidP="00E34418">
      <w:pPr>
        <w:rPr>
          <w:rFonts w:ascii="Arial" w:hAnsi="Arial" w:cs="Arial"/>
          <w:b/>
          <w:sz w:val="20"/>
          <w:szCs w:val="20"/>
          <w:lang w:val="en-GB"/>
        </w:rPr>
      </w:pPr>
    </w:p>
    <w:tbl>
      <w:tblPr>
        <w:tblStyle w:val="Grigliatabella"/>
        <w:tblW w:w="0" w:type="auto"/>
        <w:tblLayout w:type="fixed"/>
        <w:tblLook w:val="04A0" w:firstRow="1" w:lastRow="0" w:firstColumn="1" w:lastColumn="0" w:noHBand="0" w:noVBand="1"/>
      </w:tblPr>
      <w:tblGrid>
        <w:gridCol w:w="2802"/>
        <w:gridCol w:w="7052"/>
      </w:tblGrid>
      <w:tr w:rsidR="00E34418" w:rsidRPr="001112A9" w:rsidTr="00C93270">
        <w:tc>
          <w:tcPr>
            <w:tcW w:w="2802" w:type="dxa"/>
          </w:tcPr>
          <w:p w:rsidR="00E34418" w:rsidRPr="001112A9" w:rsidRDefault="00E34418" w:rsidP="00C93270">
            <w:pPr>
              <w:jc w:val="left"/>
              <w:rPr>
                <w:rFonts w:ascii="Arial" w:hAnsi="Arial" w:cs="Arial"/>
                <w:i/>
                <w:sz w:val="20"/>
                <w:szCs w:val="20"/>
                <w:lang w:val="en-GB"/>
              </w:rPr>
            </w:pPr>
            <w:r w:rsidRPr="001112A9">
              <w:rPr>
                <w:rFonts w:ascii="Arial" w:hAnsi="Arial" w:cs="Arial"/>
                <w:i/>
                <w:sz w:val="20"/>
                <w:szCs w:val="20"/>
                <w:lang w:val="en-GB"/>
              </w:rPr>
              <w:t>EV</w:t>
            </w:r>
          </w:p>
        </w:tc>
        <w:tc>
          <w:tcPr>
            <w:tcW w:w="7052" w:type="dxa"/>
            <w:shd w:val="clear" w:color="auto" w:fill="FFFF00"/>
          </w:tcPr>
          <w:p w:rsidR="00E34418" w:rsidRDefault="00E34418" w:rsidP="00C93270">
            <w:pPr>
              <w:rPr>
                <w:rFonts w:ascii="Arial" w:hAnsi="Arial" w:cs="Arial"/>
                <w:sz w:val="20"/>
                <w:szCs w:val="20"/>
                <w:lang w:val="en-GB"/>
              </w:rPr>
            </w:pPr>
          </w:p>
          <w:p w:rsidR="00C93270" w:rsidRPr="001112A9" w:rsidRDefault="00C93270" w:rsidP="00C93270">
            <w:pPr>
              <w:rPr>
                <w:rFonts w:ascii="Arial" w:hAnsi="Arial" w:cs="Arial"/>
                <w:sz w:val="20"/>
                <w:szCs w:val="20"/>
                <w:lang w:val="en-GB"/>
              </w:rPr>
            </w:pPr>
          </w:p>
        </w:tc>
      </w:tr>
      <w:tr w:rsidR="00E34418" w:rsidRPr="00606C3D" w:rsidTr="00C93270">
        <w:tc>
          <w:tcPr>
            <w:tcW w:w="2802" w:type="dxa"/>
          </w:tcPr>
          <w:p w:rsidR="00E34418" w:rsidRPr="001112A9" w:rsidRDefault="00E34418" w:rsidP="00C93270">
            <w:pPr>
              <w:jc w:val="left"/>
              <w:rPr>
                <w:rFonts w:ascii="Arial" w:hAnsi="Arial" w:cs="Arial"/>
                <w:i/>
                <w:sz w:val="20"/>
                <w:szCs w:val="20"/>
                <w:lang w:val="en-GB"/>
              </w:rPr>
            </w:pPr>
            <w:r w:rsidRPr="001112A9">
              <w:rPr>
                <w:rFonts w:ascii="Arial" w:hAnsi="Arial" w:cs="Arial"/>
                <w:i/>
                <w:sz w:val="20"/>
                <w:szCs w:val="20"/>
                <w:lang w:val="en-GB"/>
              </w:rPr>
              <w:t>Short rationale for proposing th</w:t>
            </w:r>
            <w:r>
              <w:rPr>
                <w:rFonts w:ascii="Arial" w:hAnsi="Arial" w:cs="Arial"/>
                <w:i/>
                <w:sz w:val="20"/>
                <w:szCs w:val="20"/>
                <w:lang w:val="en-GB"/>
              </w:rPr>
              <w:t>is</w:t>
            </w:r>
            <w:r w:rsidRPr="001112A9">
              <w:rPr>
                <w:rFonts w:ascii="Arial" w:hAnsi="Arial" w:cs="Arial"/>
                <w:i/>
                <w:sz w:val="20"/>
                <w:szCs w:val="20"/>
                <w:lang w:val="en-GB"/>
              </w:rPr>
              <w:t xml:space="preserve"> variable as essential for understanding and monitoring carbon cycle and climate change</w:t>
            </w:r>
          </w:p>
        </w:tc>
        <w:tc>
          <w:tcPr>
            <w:tcW w:w="7052" w:type="dxa"/>
            <w:shd w:val="clear" w:color="auto" w:fill="FFFF00"/>
          </w:tcPr>
          <w:p w:rsidR="00E34418" w:rsidRPr="001112A9" w:rsidRDefault="00E34418" w:rsidP="00C93270">
            <w:pPr>
              <w:rPr>
                <w:rFonts w:ascii="Arial" w:hAnsi="Arial" w:cs="Arial"/>
                <w:sz w:val="20"/>
                <w:szCs w:val="20"/>
                <w:lang w:val="en-GB"/>
              </w:rPr>
            </w:pPr>
          </w:p>
        </w:tc>
      </w:tr>
      <w:tr w:rsidR="00E34418" w:rsidRPr="00606C3D" w:rsidTr="00C93270">
        <w:tc>
          <w:tcPr>
            <w:tcW w:w="2802" w:type="dxa"/>
          </w:tcPr>
          <w:p w:rsidR="00E34418" w:rsidRPr="001112A9" w:rsidRDefault="00E34418" w:rsidP="00C93270">
            <w:pPr>
              <w:jc w:val="left"/>
              <w:rPr>
                <w:rFonts w:ascii="Arial" w:hAnsi="Arial" w:cs="Arial"/>
                <w:i/>
                <w:sz w:val="20"/>
                <w:szCs w:val="20"/>
                <w:lang w:val="en-GB"/>
              </w:rPr>
            </w:pPr>
            <w:r w:rsidRPr="001112A9">
              <w:rPr>
                <w:rFonts w:ascii="Arial" w:hAnsi="Arial" w:cs="Arial"/>
                <w:i/>
                <w:sz w:val="20"/>
                <w:szCs w:val="20"/>
                <w:lang w:val="en-GB"/>
              </w:rPr>
              <w:t>Available monitoring</w:t>
            </w:r>
            <w:r>
              <w:rPr>
                <w:rFonts w:ascii="Arial" w:hAnsi="Arial" w:cs="Arial"/>
                <w:i/>
                <w:sz w:val="20"/>
                <w:szCs w:val="20"/>
                <w:lang w:val="en-GB"/>
              </w:rPr>
              <w:t xml:space="preserve"> standards/</w:t>
            </w:r>
            <w:r w:rsidRPr="001112A9">
              <w:rPr>
                <w:rFonts w:ascii="Arial" w:hAnsi="Arial" w:cs="Arial"/>
                <w:i/>
                <w:sz w:val="20"/>
                <w:szCs w:val="20"/>
                <w:lang w:val="en-GB"/>
              </w:rPr>
              <w:t>methods/technologies</w:t>
            </w:r>
            <w:r>
              <w:rPr>
                <w:rFonts w:ascii="Arial" w:hAnsi="Arial" w:cs="Arial"/>
                <w:i/>
                <w:sz w:val="20"/>
                <w:szCs w:val="20"/>
                <w:lang w:val="en-GB"/>
              </w:rPr>
              <w:t xml:space="preserve"> (in situ + remote)</w:t>
            </w:r>
          </w:p>
        </w:tc>
        <w:tc>
          <w:tcPr>
            <w:tcW w:w="7052" w:type="dxa"/>
            <w:shd w:val="clear" w:color="auto" w:fill="FFFF00"/>
          </w:tcPr>
          <w:p w:rsidR="00E34418" w:rsidRPr="001112A9" w:rsidRDefault="00E34418" w:rsidP="00C93270">
            <w:pPr>
              <w:rPr>
                <w:rFonts w:ascii="Arial" w:hAnsi="Arial" w:cs="Arial"/>
                <w:sz w:val="20"/>
                <w:szCs w:val="20"/>
                <w:lang w:val="en-GB"/>
              </w:rPr>
            </w:pPr>
          </w:p>
        </w:tc>
      </w:tr>
      <w:tr w:rsidR="00E34418" w:rsidRPr="002C7084" w:rsidTr="00C93270">
        <w:tc>
          <w:tcPr>
            <w:tcW w:w="2802" w:type="dxa"/>
          </w:tcPr>
          <w:p w:rsidR="00E34418" w:rsidRPr="002C7084" w:rsidRDefault="00E34418" w:rsidP="00C93270">
            <w:pPr>
              <w:jc w:val="left"/>
              <w:rPr>
                <w:rFonts w:ascii="Arial" w:hAnsi="Arial" w:cs="Arial"/>
                <w:i/>
                <w:sz w:val="20"/>
                <w:szCs w:val="20"/>
                <w:lang w:val="en-GB"/>
              </w:rPr>
            </w:pPr>
            <w:r>
              <w:rPr>
                <w:rFonts w:ascii="Arial" w:hAnsi="Arial" w:cs="Arial"/>
                <w:i/>
                <w:sz w:val="20"/>
                <w:szCs w:val="20"/>
                <w:lang w:val="en-GB"/>
              </w:rPr>
              <w:t>Uncertainties</w:t>
            </w:r>
          </w:p>
        </w:tc>
        <w:tc>
          <w:tcPr>
            <w:tcW w:w="7052" w:type="dxa"/>
            <w:shd w:val="clear" w:color="auto" w:fill="FFFF00"/>
          </w:tcPr>
          <w:p w:rsidR="00E34418" w:rsidRPr="001112A9" w:rsidRDefault="00E34418" w:rsidP="00C93270">
            <w:pPr>
              <w:rPr>
                <w:rFonts w:ascii="Arial" w:hAnsi="Arial" w:cs="Arial"/>
                <w:sz w:val="20"/>
                <w:szCs w:val="20"/>
                <w:lang w:val="en-GB"/>
              </w:rPr>
            </w:pPr>
          </w:p>
        </w:tc>
      </w:tr>
      <w:tr w:rsidR="00E34418" w:rsidRPr="00606C3D" w:rsidTr="00C93270">
        <w:tc>
          <w:tcPr>
            <w:tcW w:w="2802" w:type="dxa"/>
          </w:tcPr>
          <w:p w:rsidR="00E34418" w:rsidRPr="001112A9" w:rsidRDefault="00E34418" w:rsidP="00C93270">
            <w:pPr>
              <w:jc w:val="left"/>
              <w:rPr>
                <w:rFonts w:ascii="Arial" w:hAnsi="Arial" w:cs="Arial"/>
                <w:i/>
                <w:sz w:val="20"/>
                <w:szCs w:val="20"/>
                <w:lang w:val="en-GB"/>
              </w:rPr>
            </w:pPr>
            <w:r w:rsidRPr="002C7084">
              <w:rPr>
                <w:rFonts w:ascii="Arial" w:hAnsi="Arial" w:cs="Arial"/>
                <w:i/>
                <w:sz w:val="20"/>
                <w:szCs w:val="20"/>
                <w:lang w:val="en-GB"/>
              </w:rPr>
              <w:t>Requirements for spatial and temporal scale, accuracy/uncertainty and stability</w:t>
            </w:r>
          </w:p>
        </w:tc>
        <w:tc>
          <w:tcPr>
            <w:tcW w:w="7052" w:type="dxa"/>
            <w:shd w:val="clear" w:color="auto" w:fill="FFFF00"/>
          </w:tcPr>
          <w:p w:rsidR="00E34418" w:rsidRPr="001112A9" w:rsidRDefault="00E34418" w:rsidP="00C93270">
            <w:pPr>
              <w:rPr>
                <w:rFonts w:ascii="Arial" w:hAnsi="Arial" w:cs="Arial"/>
                <w:sz w:val="20"/>
                <w:szCs w:val="20"/>
                <w:lang w:val="en-GB"/>
              </w:rPr>
            </w:pPr>
          </w:p>
        </w:tc>
      </w:tr>
      <w:tr w:rsidR="00E34418" w:rsidRPr="00606C3D" w:rsidTr="00C93270">
        <w:tc>
          <w:tcPr>
            <w:tcW w:w="2802" w:type="dxa"/>
          </w:tcPr>
          <w:p w:rsidR="00E34418" w:rsidRPr="001112A9" w:rsidRDefault="00E34418" w:rsidP="00C93270">
            <w:pPr>
              <w:jc w:val="left"/>
              <w:rPr>
                <w:rFonts w:ascii="Arial" w:hAnsi="Arial" w:cs="Arial"/>
                <w:i/>
                <w:sz w:val="20"/>
                <w:szCs w:val="20"/>
                <w:lang w:val="en-GB"/>
              </w:rPr>
            </w:pPr>
            <w:r w:rsidRPr="001112A9">
              <w:rPr>
                <w:rFonts w:ascii="Arial" w:hAnsi="Arial" w:cs="Arial"/>
                <w:i/>
                <w:sz w:val="20"/>
                <w:szCs w:val="20"/>
                <w:lang w:val="en-GB"/>
              </w:rPr>
              <w:t>Operational monitoring networks</w:t>
            </w:r>
            <w:r>
              <w:rPr>
                <w:rFonts w:ascii="Arial" w:hAnsi="Arial" w:cs="Arial"/>
                <w:i/>
                <w:sz w:val="20"/>
                <w:szCs w:val="20"/>
                <w:lang w:val="en-GB"/>
              </w:rPr>
              <w:t xml:space="preserve"> (in situ + remote)</w:t>
            </w:r>
          </w:p>
        </w:tc>
        <w:tc>
          <w:tcPr>
            <w:tcW w:w="7052" w:type="dxa"/>
            <w:shd w:val="clear" w:color="auto" w:fill="FFFF00"/>
          </w:tcPr>
          <w:p w:rsidR="00E34418" w:rsidRPr="001112A9" w:rsidRDefault="00E34418" w:rsidP="00C93270">
            <w:pPr>
              <w:rPr>
                <w:rFonts w:ascii="Arial" w:hAnsi="Arial" w:cs="Arial"/>
                <w:sz w:val="20"/>
                <w:szCs w:val="20"/>
                <w:lang w:val="en-GB"/>
              </w:rPr>
            </w:pPr>
          </w:p>
        </w:tc>
      </w:tr>
      <w:tr w:rsidR="00E34418" w:rsidRPr="001112A9" w:rsidTr="00C93270">
        <w:tc>
          <w:tcPr>
            <w:tcW w:w="2802" w:type="dxa"/>
          </w:tcPr>
          <w:p w:rsidR="00E34418" w:rsidRPr="001112A9" w:rsidRDefault="00E34418" w:rsidP="00C93270">
            <w:pPr>
              <w:jc w:val="left"/>
              <w:rPr>
                <w:rFonts w:ascii="Arial" w:hAnsi="Arial" w:cs="Arial"/>
                <w:i/>
                <w:sz w:val="20"/>
                <w:szCs w:val="20"/>
                <w:lang w:val="en-GB"/>
              </w:rPr>
            </w:pPr>
            <w:r>
              <w:rPr>
                <w:rFonts w:ascii="Arial" w:hAnsi="Arial" w:cs="Arial"/>
                <w:i/>
                <w:sz w:val="20"/>
                <w:szCs w:val="20"/>
                <w:lang w:val="en-GB"/>
              </w:rPr>
              <w:t>Available datasets</w:t>
            </w:r>
          </w:p>
        </w:tc>
        <w:tc>
          <w:tcPr>
            <w:tcW w:w="7052" w:type="dxa"/>
            <w:shd w:val="clear" w:color="auto" w:fill="FFFF00"/>
          </w:tcPr>
          <w:p w:rsidR="00E34418" w:rsidRPr="001112A9" w:rsidRDefault="00E34418" w:rsidP="00C93270">
            <w:pPr>
              <w:rPr>
                <w:rFonts w:ascii="Arial" w:hAnsi="Arial" w:cs="Arial"/>
                <w:sz w:val="20"/>
                <w:szCs w:val="20"/>
                <w:lang w:val="en-GB"/>
              </w:rPr>
            </w:pPr>
          </w:p>
        </w:tc>
      </w:tr>
      <w:tr w:rsidR="00E34418" w:rsidRPr="001112A9" w:rsidTr="00C93270">
        <w:tc>
          <w:tcPr>
            <w:tcW w:w="2802" w:type="dxa"/>
          </w:tcPr>
          <w:p w:rsidR="00E34418" w:rsidRDefault="00E34418" w:rsidP="00C93270">
            <w:pPr>
              <w:jc w:val="left"/>
              <w:rPr>
                <w:rFonts w:ascii="Arial" w:hAnsi="Arial" w:cs="Arial"/>
                <w:i/>
                <w:sz w:val="20"/>
                <w:szCs w:val="20"/>
                <w:lang w:val="en-GB"/>
              </w:rPr>
            </w:pPr>
            <w:r>
              <w:rPr>
                <w:rFonts w:ascii="Arial" w:hAnsi="Arial" w:cs="Arial"/>
                <w:i/>
                <w:sz w:val="20"/>
                <w:szCs w:val="20"/>
                <w:lang w:val="en-GB"/>
              </w:rPr>
              <w:t>Main users’ categories</w:t>
            </w:r>
          </w:p>
        </w:tc>
        <w:tc>
          <w:tcPr>
            <w:tcW w:w="7052" w:type="dxa"/>
            <w:shd w:val="clear" w:color="auto" w:fill="FFFF00"/>
          </w:tcPr>
          <w:p w:rsidR="00E34418" w:rsidRPr="001112A9" w:rsidRDefault="00E34418" w:rsidP="00C93270">
            <w:pPr>
              <w:rPr>
                <w:rFonts w:ascii="Arial" w:hAnsi="Arial" w:cs="Arial"/>
                <w:sz w:val="20"/>
                <w:szCs w:val="20"/>
                <w:lang w:val="en-GB"/>
              </w:rPr>
            </w:pPr>
          </w:p>
        </w:tc>
      </w:tr>
      <w:tr w:rsidR="00E34418" w:rsidRPr="001112A9" w:rsidTr="00C93270">
        <w:tc>
          <w:tcPr>
            <w:tcW w:w="2802" w:type="dxa"/>
          </w:tcPr>
          <w:p w:rsidR="00E34418" w:rsidRPr="001112A9" w:rsidRDefault="00E34418" w:rsidP="00C93270">
            <w:pPr>
              <w:jc w:val="left"/>
              <w:rPr>
                <w:rFonts w:ascii="Arial" w:hAnsi="Arial" w:cs="Arial"/>
                <w:i/>
                <w:sz w:val="20"/>
                <w:szCs w:val="20"/>
                <w:lang w:val="en-GB"/>
              </w:rPr>
            </w:pPr>
            <w:r w:rsidRPr="001112A9">
              <w:rPr>
                <w:rFonts w:ascii="Arial" w:hAnsi="Arial" w:cs="Arial"/>
                <w:i/>
                <w:sz w:val="20"/>
                <w:szCs w:val="20"/>
                <w:lang w:val="en-GB"/>
              </w:rPr>
              <w:t>Main gaps and requirements</w:t>
            </w:r>
          </w:p>
        </w:tc>
        <w:tc>
          <w:tcPr>
            <w:tcW w:w="7052" w:type="dxa"/>
            <w:shd w:val="clear" w:color="auto" w:fill="FFFF00"/>
          </w:tcPr>
          <w:p w:rsidR="00E34418" w:rsidRPr="001112A9" w:rsidRDefault="00E34418" w:rsidP="00C93270">
            <w:pPr>
              <w:rPr>
                <w:rFonts w:ascii="Arial" w:hAnsi="Arial" w:cs="Arial"/>
                <w:sz w:val="20"/>
                <w:szCs w:val="20"/>
                <w:lang w:val="en-GB"/>
              </w:rPr>
            </w:pPr>
          </w:p>
        </w:tc>
      </w:tr>
      <w:tr w:rsidR="00E34418" w:rsidRPr="001112A9" w:rsidTr="00C93270">
        <w:tc>
          <w:tcPr>
            <w:tcW w:w="2802" w:type="dxa"/>
          </w:tcPr>
          <w:p w:rsidR="00E34418" w:rsidRPr="001112A9" w:rsidRDefault="00E34418" w:rsidP="00C93270">
            <w:pPr>
              <w:jc w:val="left"/>
              <w:rPr>
                <w:rFonts w:ascii="Arial" w:hAnsi="Arial" w:cs="Arial"/>
                <w:i/>
                <w:sz w:val="20"/>
                <w:szCs w:val="20"/>
                <w:lang w:val="en-GB"/>
              </w:rPr>
            </w:pPr>
            <w:r w:rsidRPr="001112A9">
              <w:rPr>
                <w:rFonts w:ascii="Arial" w:hAnsi="Arial" w:cs="Arial"/>
                <w:i/>
                <w:sz w:val="20"/>
                <w:szCs w:val="20"/>
                <w:lang w:val="en-GB"/>
              </w:rPr>
              <w:t xml:space="preserve">Other </w:t>
            </w:r>
          </w:p>
        </w:tc>
        <w:tc>
          <w:tcPr>
            <w:tcW w:w="7052" w:type="dxa"/>
            <w:shd w:val="clear" w:color="auto" w:fill="FFFF00"/>
          </w:tcPr>
          <w:p w:rsidR="00E34418" w:rsidRPr="001112A9" w:rsidRDefault="00E34418" w:rsidP="00C93270">
            <w:pPr>
              <w:rPr>
                <w:rFonts w:ascii="Arial" w:hAnsi="Arial" w:cs="Arial"/>
                <w:sz w:val="20"/>
                <w:szCs w:val="20"/>
                <w:lang w:val="en-GB"/>
              </w:rPr>
            </w:pPr>
          </w:p>
        </w:tc>
      </w:tr>
    </w:tbl>
    <w:p w:rsidR="00E34418" w:rsidRPr="001112A9" w:rsidRDefault="00E34418" w:rsidP="00E34418">
      <w:pPr>
        <w:rPr>
          <w:rFonts w:ascii="Arial" w:hAnsi="Arial" w:cs="Arial"/>
          <w:sz w:val="20"/>
          <w:szCs w:val="20"/>
          <w:lang w:val="en-GB"/>
        </w:rPr>
      </w:pPr>
    </w:p>
    <w:p w:rsidR="00411632" w:rsidRPr="001112A9" w:rsidRDefault="00411632" w:rsidP="001112A9">
      <w:pPr>
        <w:rPr>
          <w:rFonts w:ascii="Arial" w:hAnsi="Arial" w:cs="Arial"/>
          <w:sz w:val="20"/>
          <w:szCs w:val="20"/>
          <w:lang w:val="en-GB"/>
        </w:rPr>
      </w:pPr>
    </w:p>
    <w:p w:rsidR="00447076" w:rsidRDefault="00E34418" w:rsidP="001112A9">
      <w:pPr>
        <w:rPr>
          <w:rFonts w:ascii="Arial" w:hAnsi="Arial" w:cs="Arial"/>
          <w:b/>
          <w:sz w:val="20"/>
          <w:szCs w:val="20"/>
          <w:lang w:val="en-GB"/>
        </w:rPr>
      </w:pPr>
      <w:r>
        <w:rPr>
          <w:rFonts w:ascii="Arial" w:hAnsi="Arial" w:cs="Arial"/>
          <w:b/>
          <w:sz w:val="20"/>
          <w:szCs w:val="20"/>
          <w:lang w:val="en-GB"/>
        </w:rPr>
        <w:t>Example</w:t>
      </w:r>
    </w:p>
    <w:tbl>
      <w:tblPr>
        <w:tblStyle w:val="Grigliatabella"/>
        <w:tblW w:w="0" w:type="auto"/>
        <w:tblLayout w:type="fixed"/>
        <w:tblLook w:val="04A0" w:firstRow="1" w:lastRow="0" w:firstColumn="1" w:lastColumn="0" w:noHBand="0" w:noVBand="1"/>
      </w:tblPr>
      <w:tblGrid>
        <w:gridCol w:w="2802"/>
        <w:gridCol w:w="7052"/>
      </w:tblGrid>
      <w:tr w:rsidR="001112A9" w:rsidRPr="00E34418" w:rsidTr="002C7084">
        <w:tc>
          <w:tcPr>
            <w:tcW w:w="2802" w:type="dxa"/>
          </w:tcPr>
          <w:p w:rsidR="001112A9" w:rsidRPr="001112A9" w:rsidRDefault="001112A9" w:rsidP="002C7084">
            <w:pPr>
              <w:jc w:val="left"/>
              <w:rPr>
                <w:rFonts w:ascii="Arial" w:hAnsi="Arial" w:cs="Arial"/>
                <w:i/>
                <w:sz w:val="20"/>
                <w:szCs w:val="20"/>
                <w:lang w:val="en-GB"/>
              </w:rPr>
            </w:pPr>
            <w:r w:rsidRPr="001112A9">
              <w:rPr>
                <w:rFonts w:ascii="Arial" w:hAnsi="Arial" w:cs="Arial"/>
                <w:i/>
                <w:sz w:val="20"/>
                <w:szCs w:val="20"/>
                <w:lang w:val="en-GB"/>
              </w:rPr>
              <w:t>new ECV</w:t>
            </w:r>
          </w:p>
        </w:tc>
        <w:tc>
          <w:tcPr>
            <w:tcW w:w="7052" w:type="dxa"/>
            <w:shd w:val="clear" w:color="auto" w:fill="FFFF00"/>
          </w:tcPr>
          <w:p w:rsidR="001112A9" w:rsidRDefault="00634829" w:rsidP="001112A9">
            <w:pPr>
              <w:rPr>
                <w:rFonts w:ascii="Arial" w:hAnsi="Arial" w:cs="Arial"/>
                <w:sz w:val="20"/>
                <w:szCs w:val="20"/>
                <w:lang w:val="en-GB"/>
              </w:rPr>
            </w:pPr>
            <w:r>
              <w:rPr>
                <w:rFonts w:ascii="Arial" w:hAnsi="Arial" w:cs="Arial"/>
                <w:sz w:val="20"/>
                <w:szCs w:val="20"/>
                <w:lang w:val="en-GB"/>
              </w:rPr>
              <w:t>Soil Carbon</w:t>
            </w:r>
          </w:p>
          <w:p w:rsidR="000129FE" w:rsidRPr="002D69F6" w:rsidRDefault="000129FE" w:rsidP="001112A9">
            <w:pPr>
              <w:rPr>
                <w:rFonts w:ascii="Arial" w:hAnsi="Arial" w:cs="Arial"/>
                <w:i/>
                <w:sz w:val="20"/>
                <w:szCs w:val="20"/>
                <w:lang w:val="en-GB"/>
              </w:rPr>
            </w:pPr>
            <w:r w:rsidRPr="002D69F6">
              <w:rPr>
                <w:rFonts w:ascii="Arial" w:hAnsi="Arial" w:cs="Arial"/>
                <w:i/>
                <w:sz w:val="20"/>
                <w:szCs w:val="20"/>
                <w:lang w:val="en-GB"/>
              </w:rPr>
              <w:t>(1</w:t>
            </w:r>
            <w:r w:rsidRPr="002D69F6">
              <w:rPr>
                <w:rFonts w:ascii="Arial" w:hAnsi="Arial" w:cs="Arial"/>
                <w:i/>
                <w:sz w:val="20"/>
                <w:szCs w:val="20"/>
                <w:vertAlign w:val="superscript"/>
                <w:lang w:val="en-GB"/>
              </w:rPr>
              <w:t>st</w:t>
            </w:r>
            <w:r w:rsidRPr="002D69F6">
              <w:rPr>
                <w:rFonts w:ascii="Arial" w:hAnsi="Arial" w:cs="Arial"/>
                <w:i/>
                <w:sz w:val="20"/>
                <w:szCs w:val="20"/>
                <w:lang w:val="en-GB"/>
              </w:rPr>
              <w:t xml:space="preserve"> draft by Tommaso Chiti and Antonio Bombelli)</w:t>
            </w:r>
          </w:p>
        </w:tc>
      </w:tr>
      <w:tr w:rsidR="001112A9" w:rsidRPr="002C7084" w:rsidTr="002C7084">
        <w:tc>
          <w:tcPr>
            <w:tcW w:w="2802" w:type="dxa"/>
          </w:tcPr>
          <w:p w:rsidR="001112A9" w:rsidRPr="001112A9" w:rsidRDefault="001112A9" w:rsidP="002C7084">
            <w:pPr>
              <w:jc w:val="left"/>
              <w:rPr>
                <w:rFonts w:ascii="Arial" w:hAnsi="Arial" w:cs="Arial"/>
                <w:i/>
                <w:sz w:val="20"/>
                <w:szCs w:val="20"/>
                <w:lang w:val="en-GB"/>
              </w:rPr>
            </w:pPr>
            <w:r w:rsidRPr="001112A9">
              <w:rPr>
                <w:rFonts w:ascii="Arial" w:hAnsi="Arial" w:cs="Arial"/>
                <w:i/>
                <w:sz w:val="20"/>
                <w:szCs w:val="20"/>
                <w:lang w:val="en-GB"/>
              </w:rPr>
              <w:t>Short rationale for proposing th</w:t>
            </w:r>
            <w:r w:rsidR="002C7084">
              <w:rPr>
                <w:rFonts w:ascii="Arial" w:hAnsi="Arial" w:cs="Arial"/>
                <w:i/>
                <w:sz w:val="20"/>
                <w:szCs w:val="20"/>
                <w:lang w:val="en-GB"/>
              </w:rPr>
              <w:t>is</w:t>
            </w:r>
            <w:r w:rsidRPr="001112A9">
              <w:rPr>
                <w:rFonts w:ascii="Arial" w:hAnsi="Arial" w:cs="Arial"/>
                <w:i/>
                <w:sz w:val="20"/>
                <w:szCs w:val="20"/>
                <w:lang w:val="en-GB"/>
              </w:rPr>
              <w:t xml:space="preserve"> variable as essential for understanding and monitoring carbon cycle and climate change</w:t>
            </w:r>
          </w:p>
        </w:tc>
        <w:tc>
          <w:tcPr>
            <w:tcW w:w="7052" w:type="dxa"/>
            <w:shd w:val="clear" w:color="auto" w:fill="FFFF00"/>
          </w:tcPr>
          <w:p w:rsidR="00CB694F" w:rsidRDefault="000B5053" w:rsidP="009629CC">
            <w:pPr>
              <w:rPr>
                <w:rFonts w:ascii="Arial" w:hAnsi="Arial" w:cs="Arial"/>
                <w:sz w:val="20"/>
                <w:szCs w:val="20"/>
                <w:lang w:val="en-GB"/>
              </w:rPr>
            </w:pPr>
            <w:r>
              <w:rPr>
                <w:rFonts w:ascii="Arial" w:hAnsi="Arial" w:cs="Arial"/>
                <w:sz w:val="20"/>
                <w:szCs w:val="20"/>
                <w:lang w:val="en-GB"/>
              </w:rPr>
              <w:t xml:space="preserve">Soil organic carbon (SOC) is an essential variable for understanding the potential future changes of the climate system. The SOC pool stores </w:t>
            </w:r>
            <w:r w:rsidRPr="000B5053">
              <w:rPr>
                <w:rFonts w:ascii="Arial" w:hAnsi="Arial" w:cs="Arial"/>
                <w:sz w:val="20"/>
                <w:szCs w:val="20"/>
                <w:lang w:val="en-GB"/>
              </w:rPr>
              <w:t xml:space="preserve">over 2,700 </w:t>
            </w:r>
            <w:proofErr w:type="spellStart"/>
            <w:r w:rsidRPr="000B5053">
              <w:rPr>
                <w:rFonts w:ascii="Arial" w:hAnsi="Arial" w:cs="Arial"/>
                <w:sz w:val="20"/>
                <w:szCs w:val="20"/>
                <w:lang w:val="en-GB"/>
              </w:rPr>
              <w:t>gigatonnes</w:t>
            </w:r>
            <w:proofErr w:type="spellEnd"/>
            <w:r w:rsidRPr="000B5053">
              <w:rPr>
                <w:rFonts w:ascii="Arial" w:hAnsi="Arial" w:cs="Arial"/>
                <w:sz w:val="20"/>
                <w:szCs w:val="20"/>
                <w:lang w:val="en-GB"/>
              </w:rPr>
              <w:t xml:space="preserve"> (Gt) of carbon in soils worldwide, which is well above the combined total of atmosphe</w:t>
            </w:r>
            <w:r>
              <w:rPr>
                <w:rFonts w:ascii="Arial" w:hAnsi="Arial" w:cs="Arial"/>
                <w:sz w:val="20"/>
                <w:szCs w:val="20"/>
                <w:lang w:val="en-GB"/>
              </w:rPr>
              <w:t xml:space="preserve">re (780 Gt) or biomass (575 Gt). Changes in land use/cover affect directly the </w:t>
            </w:r>
            <w:r w:rsidR="000E5F9E">
              <w:rPr>
                <w:rFonts w:ascii="Arial" w:hAnsi="Arial" w:cs="Arial"/>
                <w:sz w:val="20"/>
                <w:szCs w:val="20"/>
                <w:lang w:val="en-GB"/>
              </w:rPr>
              <w:t xml:space="preserve">SOC pool </w:t>
            </w:r>
            <w:r w:rsidR="00501DAF">
              <w:rPr>
                <w:rFonts w:ascii="Arial" w:hAnsi="Arial" w:cs="Arial"/>
                <w:sz w:val="20"/>
                <w:szCs w:val="20"/>
                <w:lang w:val="en-GB"/>
              </w:rPr>
              <w:t xml:space="preserve">and its flux, </w:t>
            </w:r>
            <w:r w:rsidR="000E5F9E">
              <w:rPr>
                <w:rFonts w:ascii="Arial" w:hAnsi="Arial" w:cs="Arial"/>
                <w:sz w:val="20"/>
                <w:szCs w:val="20"/>
                <w:lang w:val="en-GB"/>
              </w:rPr>
              <w:t>and as a consequence the atmosphere, with the potential for the SOC pool to sequester C or be</w:t>
            </w:r>
            <w:r w:rsidR="008E45C4">
              <w:rPr>
                <w:rFonts w:ascii="Arial" w:hAnsi="Arial" w:cs="Arial"/>
                <w:sz w:val="20"/>
                <w:szCs w:val="20"/>
                <w:lang w:val="en-GB"/>
              </w:rPr>
              <w:t>come</w:t>
            </w:r>
            <w:r w:rsidR="000E5F9E">
              <w:rPr>
                <w:rFonts w:ascii="Arial" w:hAnsi="Arial" w:cs="Arial"/>
                <w:sz w:val="20"/>
                <w:szCs w:val="20"/>
                <w:lang w:val="en-GB"/>
              </w:rPr>
              <w:t xml:space="preserve"> a source. </w:t>
            </w:r>
            <w:r w:rsidR="000E5F9E" w:rsidRPr="000E5F9E">
              <w:rPr>
                <w:rFonts w:ascii="Arial" w:hAnsi="Arial" w:cs="Arial"/>
                <w:sz w:val="20"/>
                <w:szCs w:val="20"/>
                <w:lang w:val="en-GB"/>
              </w:rPr>
              <w:t xml:space="preserve">It is widely accepted that the </w:t>
            </w:r>
            <w:r w:rsidR="008E45C4">
              <w:rPr>
                <w:rFonts w:ascii="Arial" w:hAnsi="Arial" w:cs="Arial"/>
                <w:sz w:val="20"/>
                <w:szCs w:val="20"/>
                <w:lang w:val="en-GB"/>
              </w:rPr>
              <w:t>C</w:t>
            </w:r>
            <w:r w:rsidR="000E5F9E" w:rsidRPr="000E5F9E">
              <w:rPr>
                <w:rFonts w:ascii="Arial" w:hAnsi="Arial" w:cs="Arial"/>
                <w:sz w:val="20"/>
                <w:szCs w:val="20"/>
                <w:lang w:val="en-GB"/>
              </w:rPr>
              <w:t xml:space="preserve"> content of soil is a major factor in its overall health. Soil carbon improves the physical properties of soil. It increases the </w:t>
            </w:r>
            <w:proofErr w:type="spellStart"/>
            <w:r w:rsidR="000E5F9E" w:rsidRPr="000E5F9E">
              <w:rPr>
                <w:rFonts w:ascii="Arial" w:hAnsi="Arial" w:cs="Arial"/>
                <w:sz w:val="20"/>
                <w:szCs w:val="20"/>
                <w:lang w:val="en-GB"/>
              </w:rPr>
              <w:t>cation</w:t>
            </w:r>
            <w:proofErr w:type="spellEnd"/>
            <w:r w:rsidR="000E5F9E" w:rsidRPr="000E5F9E">
              <w:rPr>
                <w:rFonts w:ascii="Arial" w:hAnsi="Arial" w:cs="Arial"/>
                <w:sz w:val="20"/>
                <w:szCs w:val="20"/>
                <w:lang w:val="en-GB"/>
              </w:rPr>
              <w:t>-exchange capacity (CEC) and water-holding capacity of sandy soil, and it contributes to the structural stability of clay soils by helping to b</w:t>
            </w:r>
            <w:r w:rsidR="000E5F9E">
              <w:rPr>
                <w:rFonts w:ascii="Arial" w:hAnsi="Arial" w:cs="Arial"/>
                <w:sz w:val="20"/>
                <w:szCs w:val="20"/>
                <w:lang w:val="en-GB"/>
              </w:rPr>
              <w:t>ind particles into aggregates</w:t>
            </w:r>
            <w:r w:rsidR="009629CC">
              <w:rPr>
                <w:rFonts w:ascii="Arial" w:hAnsi="Arial" w:cs="Arial"/>
                <w:sz w:val="20"/>
                <w:szCs w:val="20"/>
                <w:lang w:val="en-GB"/>
              </w:rPr>
              <w:t xml:space="preserve">. </w:t>
            </w:r>
            <w:r w:rsidR="000E5F9E">
              <w:rPr>
                <w:rFonts w:ascii="Arial" w:hAnsi="Arial" w:cs="Arial"/>
                <w:sz w:val="20"/>
                <w:szCs w:val="20"/>
                <w:lang w:val="en-GB"/>
              </w:rPr>
              <w:t xml:space="preserve">The increasing importance of including the SOC between the essential climate variables </w:t>
            </w:r>
            <w:r w:rsidR="00795E20">
              <w:rPr>
                <w:rFonts w:ascii="Arial" w:hAnsi="Arial" w:cs="Arial"/>
                <w:sz w:val="20"/>
                <w:szCs w:val="20"/>
                <w:lang w:val="en-GB"/>
              </w:rPr>
              <w:t xml:space="preserve">is </w:t>
            </w:r>
            <w:r w:rsidR="009629CC">
              <w:rPr>
                <w:rFonts w:ascii="Arial" w:hAnsi="Arial" w:cs="Arial"/>
                <w:sz w:val="20"/>
                <w:szCs w:val="20"/>
                <w:lang w:val="en-GB"/>
              </w:rPr>
              <w:t xml:space="preserve">also </w:t>
            </w:r>
            <w:r w:rsidR="00795E20">
              <w:rPr>
                <w:rFonts w:ascii="Arial" w:hAnsi="Arial" w:cs="Arial"/>
                <w:sz w:val="20"/>
                <w:szCs w:val="20"/>
                <w:lang w:val="en-GB"/>
              </w:rPr>
              <w:t>related to</w:t>
            </w:r>
            <w:r w:rsidR="009629CC">
              <w:rPr>
                <w:rFonts w:ascii="Arial" w:hAnsi="Arial" w:cs="Arial"/>
                <w:sz w:val="20"/>
                <w:szCs w:val="20"/>
                <w:lang w:val="en-GB"/>
              </w:rPr>
              <w:t xml:space="preserve"> some emerging issues</w:t>
            </w:r>
            <w:r w:rsidR="00795E20">
              <w:rPr>
                <w:rFonts w:ascii="Arial" w:hAnsi="Arial" w:cs="Arial"/>
                <w:sz w:val="20"/>
                <w:szCs w:val="20"/>
                <w:lang w:val="en-GB"/>
              </w:rPr>
              <w:t xml:space="preserve">: a) the needs of new land for agriculture </w:t>
            </w:r>
            <w:r w:rsidR="008E45C4">
              <w:rPr>
                <w:rFonts w:ascii="Arial" w:hAnsi="Arial" w:cs="Arial"/>
                <w:sz w:val="20"/>
                <w:szCs w:val="20"/>
                <w:lang w:val="en-GB"/>
              </w:rPr>
              <w:t xml:space="preserve">that is </w:t>
            </w:r>
            <w:r w:rsidR="00795E20">
              <w:rPr>
                <w:rFonts w:ascii="Arial" w:hAnsi="Arial" w:cs="Arial"/>
                <w:sz w:val="20"/>
                <w:szCs w:val="20"/>
                <w:lang w:val="en-GB"/>
              </w:rPr>
              <w:t xml:space="preserve">increasing the greenhouse gases </w:t>
            </w:r>
            <w:r w:rsidR="000E5F9E">
              <w:rPr>
                <w:rFonts w:ascii="Arial" w:hAnsi="Arial" w:cs="Arial"/>
                <w:sz w:val="20"/>
                <w:szCs w:val="20"/>
                <w:lang w:val="en-GB"/>
              </w:rPr>
              <w:t xml:space="preserve"> </w:t>
            </w:r>
            <w:r w:rsidR="00795E20">
              <w:rPr>
                <w:rFonts w:ascii="Arial" w:hAnsi="Arial" w:cs="Arial"/>
                <w:sz w:val="20"/>
                <w:szCs w:val="20"/>
                <w:lang w:val="en-GB"/>
              </w:rPr>
              <w:t>(GHGs) emitted from soil due to management; b) the increasing concern on the possibility to reduce global GHG emissions by avoiding deforestation and degradation.</w:t>
            </w:r>
            <w:r w:rsidR="009629CC">
              <w:rPr>
                <w:rFonts w:ascii="Arial" w:hAnsi="Arial" w:cs="Arial"/>
                <w:sz w:val="20"/>
                <w:szCs w:val="20"/>
                <w:lang w:val="en-GB"/>
              </w:rPr>
              <w:t xml:space="preserve"> </w:t>
            </w:r>
          </w:p>
          <w:p w:rsidR="00CB694F" w:rsidRDefault="00CB694F" w:rsidP="00CB694F">
            <w:pPr>
              <w:rPr>
                <w:rFonts w:ascii="Arial" w:hAnsi="Arial" w:cs="Arial"/>
                <w:sz w:val="20"/>
                <w:szCs w:val="20"/>
                <w:lang w:val="en-GB"/>
              </w:rPr>
            </w:pPr>
            <w:r>
              <w:rPr>
                <w:rFonts w:ascii="Arial" w:hAnsi="Arial" w:cs="Arial"/>
                <w:sz w:val="20"/>
                <w:szCs w:val="20"/>
                <w:lang w:val="en-GB"/>
              </w:rPr>
              <w:t>On the other side the soil carbon pool have, u</w:t>
            </w:r>
            <w:r w:rsidRPr="00CB694F">
              <w:rPr>
                <w:rFonts w:ascii="Arial" w:hAnsi="Arial" w:cs="Arial"/>
                <w:sz w:val="20"/>
                <w:szCs w:val="20"/>
                <w:lang w:val="en-GB"/>
              </w:rPr>
              <w:t xml:space="preserve">ntil recently, </w:t>
            </w:r>
            <w:r>
              <w:rPr>
                <w:rFonts w:ascii="Arial" w:hAnsi="Arial" w:cs="Arial"/>
                <w:sz w:val="20"/>
                <w:szCs w:val="20"/>
                <w:lang w:val="en-GB"/>
              </w:rPr>
              <w:t>r</w:t>
            </w:r>
            <w:r w:rsidRPr="00CB694F">
              <w:rPr>
                <w:rFonts w:ascii="Arial" w:hAnsi="Arial" w:cs="Arial"/>
                <w:sz w:val="20"/>
                <w:szCs w:val="20"/>
                <w:lang w:val="en-GB"/>
              </w:rPr>
              <w:t>epresented stable, long-term reservoirs for atmospheric carbon</w:t>
            </w:r>
            <w:r>
              <w:rPr>
                <w:rFonts w:ascii="Arial" w:hAnsi="Arial" w:cs="Arial"/>
                <w:sz w:val="20"/>
                <w:szCs w:val="20"/>
                <w:lang w:val="en-GB"/>
              </w:rPr>
              <w:t xml:space="preserve">, but is becoming increasingly vulnerable to climate change, because of the </w:t>
            </w:r>
            <w:r w:rsidRPr="00CB694F">
              <w:rPr>
                <w:rFonts w:ascii="Arial" w:hAnsi="Arial" w:cs="Arial"/>
                <w:sz w:val="20"/>
                <w:szCs w:val="20"/>
                <w:lang w:val="en-GB"/>
              </w:rPr>
              <w:t xml:space="preserve">permafrost </w:t>
            </w:r>
            <w:r>
              <w:rPr>
                <w:rFonts w:ascii="Arial" w:hAnsi="Arial" w:cs="Arial"/>
                <w:sz w:val="20"/>
                <w:szCs w:val="20"/>
                <w:lang w:val="en-GB"/>
              </w:rPr>
              <w:t xml:space="preserve">thawing and </w:t>
            </w:r>
            <w:r w:rsidRPr="00CB694F">
              <w:rPr>
                <w:rFonts w:ascii="Arial" w:hAnsi="Arial" w:cs="Arial"/>
                <w:sz w:val="20"/>
                <w:szCs w:val="20"/>
                <w:lang w:val="en-GB"/>
              </w:rPr>
              <w:t>the drying of organic soils in</w:t>
            </w:r>
            <w:r>
              <w:rPr>
                <w:rFonts w:ascii="Arial" w:hAnsi="Arial" w:cs="Arial"/>
                <w:sz w:val="20"/>
                <w:szCs w:val="20"/>
                <w:lang w:val="en-GB"/>
              </w:rPr>
              <w:t xml:space="preserve"> </w:t>
            </w:r>
            <w:r w:rsidRPr="00CB694F">
              <w:rPr>
                <w:rFonts w:ascii="Arial" w:hAnsi="Arial" w:cs="Arial"/>
                <w:sz w:val="20"/>
                <w:szCs w:val="20"/>
                <w:lang w:val="en-GB"/>
              </w:rPr>
              <w:t xml:space="preserve">tropical and boreal </w:t>
            </w:r>
            <w:proofErr w:type="spellStart"/>
            <w:r w:rsidRPr="00CB694F">
              <w:rPr>
                <w:rFonts w:ascii="Arial" w:hAnsi="Arial" w:cs="Arial"/>
                <w:sz w:val="20"/>
                <w:szCs w:val="20"/>
                <w:lang w:val="en-GB"/>
              </w:rPr>
              <w:t>peatlands</w:t>
            </w:r>
            <w:proofErr w:type="spellEnd"/>
            <w:r w:rsidRPr="00CB694F">
              <w:rPr>
                <w:rFonts w:ascii="Arial" w:hAnsi="Arial" w:cs="Arial"/>
                <w:sz w:val="20"/>
                <w:szCs w:val="20"/>
                <w:lang w:val="en-GB"/>
              </w:rPr>
              <w:t>, boreal forests, and tundra, combined with increases in fire frequency,</w:t>
            </w:r>
            <w:r>
              <w:rPr>
                <w:rFonts w:ascii="Arial" w:hAnsi="Arial" w:cs="Arial"/>
                <w:sz w:val="20"/>
                <w:szCs w:val="20"/>
                <w:lang w:val="en-GB"/>
              </w:rPr>
              <w:t xml:space="preserve"> that can trigger the release of unc</w:t>
            </w:r>
            <w:r w:rsidR="00747ECC">
              <w:rPr>
                <w:rFonts w:ascii="Arial" w:hAnsi="Arial" w:cs="Arial"/>
                <w:sz w:val="20"/>
                <w:szCs w:val="20"/>
                <w:lang w:val="en-GB"/>
              </w:rPr>
              <w:t>ontr</w:t>
            </w:r>
            <w:r>
              <w:rPr>
                <w:rFonts w:ascii="Arial" w:hAnsi="Arial" w:cs="Arial"/>
                <w:sz w:val="20"/>
                <w:szCs w:val="20"/>
                <w:lang w:val="en-GB"/>
              </w:rPr>
              <w:t>olled carbon emissions from soils.</w:t>
            </w:r>
          </w:p>
          <w:p w:rsidR="001112A9" w:rsidRDefault="009629CC" w:rsidP="009629CC">
            <w:pPr>
              <w:rPr>
                <w:rFonts w:ascii="Arial" w:hAnsi="Arial" w:cs="Arial"/>
                <w:sz w:val="20"/>
                <w:szCs w:val="20"/>
                <w:lang w:val="en-GB"/>
              </w:rPr>
            </w:pPr>
            <w:r>
              <w:rPr>
                <w:rFonts w:ascii="Arial" w:hAnsi="Arial" w:cs="Arial"/>
                <w:sz w:val="20"/>
                <w:szCs w:val="20"/>
                <w:lang w:val="en-GB"/>
              </w:rPr>
              <w:t>Besides, a global assessment of SOC and its dynamics is an essential input to climate change forecasting models and adaptation strategies.</w:t>
            </w:r>
          </w:p>
          <w:p w:rsidR="003971D5" w:rsidRDefault="003971D5" w:rsidP="003971D5">
            <w:pPr>
              <w:rPr>
                <w:rFonts w:ascii="Arial" w:hAnsi="Arial" w:cs="Arial"/>
                <w:sz w:val="20"/>
                <w:szCs w:val="20"/>
                <w:lang w:val="en-GB"/>
              </w:rPr>
            </w:pPr>
          </w:p>
          <w:p w:rsidR="003971D5" w:rsidRDefault="003971D5" w:rsidP="003971D5">
            <w:pPr>
              <w:rPr>
                <w:rFonts w:ascii="Arial" w:hAnsi="Arial" w:cs="Arial"/>
                <w:sz w:val="20"/>
                <w:szCs w:val="20"/>
                <w:lang w:val="en-GB"/>
              </w:rPr>
            </w:pPr>
            <w:r w:rsidRPr="003971D5">
              <w:rPr>
                <w:rFonts w:ascii="Arial" w:hAnsi="Arial" w:cs="Arial"/>
                <w:i/>
                <w:sz w:val="20"/>
                <w:szCs w:val="20"/>
                <w:u w:val="single"/>
                <w:lang w:val="en-GB"/>
              </w:rPr>
              <w:t>Reference</w:t>
            </w:r>
            <w:r>
              <w:rPr>
                <w:rFonts w:ascii="Arial" w:hAnsi="Arial" w:cs="Arial"/>
                <w:sz w:val="20"/>
                <w:szCs w:val="20"/>
                <w:lang w:val="en-GB"/>
              </w:rPr>
              <w:t>:</w:t>
            </w:r>
          </w:p>
          <w:p w:rsidR="003971D5" w:rsidRPr="001112A9" w:rsidRDefault="003971D5" w:rsidP="003971D5">
            <w:pPr>
              <w:rPr>
                <w:rFonts w:ascii="Arial" w:hAnsi="Arial" w:cs="Arial"/>
                <w:sz w:val="20"/>
                <w:szCs w:val="20"/>
                <w:lang w:val="en-GB"/>
              </w:rPr>
            </w:pPr>
            <w:proofErr w:type="spellStart"/>
            <w:r>
              <w:rPr>
                <w:rFonts w:ascii="Arial" w:hAnsi="Arial" w:cs="Arial"/>
                <w:sz w:val="20"/>
                <w:szCs w:val="20"/>
                <w:lang w:val="en-GB"/>
              </w:rPr>
              <w:t>Lal</w:t>
            </w:r>
            <w:proofErr w:type="spellEnd"/>
            <w:r w:rsidRPr="003971D5">
              <w:rPr>
                <w:rFonts w:ascii="Arial" w:hAnsi="Arial" w:cs="Arial"/>
                <w:sz w:val="20"/>
                <w:szCs w:val="20"/>
                <w:lang w:val="en-GB"/>
              </w:rPr>
              <w:t xml:space="preserve"> R (2008). "Sequestration of atmospheric CO2 in global carbon pools". Energy and Environmental Science 1 (1): 86–100</w:t>
            </w:r>
          </w:p>
        </w:tc>
      </w:tr>
      <w:tr w:rsidR="001112A9" w:rsidRPr="002C7084" w:rsidTr="002C7084">
        <w:tc>
          <w:tcPr>
            <w:tcW w:w="2802" w:type="dxa"/>
          </w:tcPr>
          <w:p w:rsidR="001112A9" w:rsidRPr="001112A9" w:rsidRDefault="001112A9" w:rsidP="002C7084">
            <w:pPr>
              <w:jc w:val="left"/>
              <w:rPr>
                <w:rFonts w:ascii="Arial" w:hAnsi="Arial" w:cs="Arial"/>
                <w:i/>
                <w:sz w:val="20"/>
                <w:szCs w:val="20"/>
                <w:lang w:val="en-GB"/>
              </w:rPr>
            </w:pPr>
            <w:r w:rsidRPr="001112A9">
              <w:rPr>
                <w:rFonts w:ascii="Arial" w:hAnsi="Arial" w:cs="Arial"/>
                <w:i/>
                <w:sz w:val="20"/>
                <w:szCs w:val="20"/>
                <w:lang w:val="en-GB"/>
              </w:rPr>
              <w:t>Available monitoring</w:t>
            </w:r>
            <w:r w:rsidR="002C7084">
              <w:rPr>
                <w:rFonts w:ascii="Arial" w:hAnsi="Arial" w:cs="Arial"/>
                <w:i/>
                <w:sz w:val="20"/>
                <w:szCs w:val="20"/>
                <w:lang w:val="en-GB"/>
              </w:rPr>
              <w:t xml:space="preserve"> standards/</w:t>
            </w:r>
            <w:r w:rsidRPr="001112A9">
              <w:rPr>
                <w:rFonts w:ascii="Arial" w:hAnsi="Arial" w:cs="Arial"/>
                <w:i/>
                <w:sz w:val="20"/>
                <w:szCs w:val="20"/>
                <w:lang w:val="en-GB"/>
              </w:rPr>
              <w:t>methods/technologies</w:t>
            </w:r>
            <w:r w:rsidR="002C7084">
              <w:rPr>
                <w:rFonts w:ascii="Arial" w:hAnsi="Arial" w:cs="Arial"/>
                <w:i/>
                <w:sz w:val="20"/>
                <w:szCs w:val="20"/>
                <w:lang w:val="en-GB"/>
              </w:rPr>
              <w:t xml:space="preserve"> (in situ + remote)</w:t>
            </w:r>
          </w:p>
        </w:tc>
        <w:tc>
          <w:tcPr>
            <w:tcW w:w="7052" w:type="dxa"/>
            <w:shd w:val="clear" w:color="auto" w:fill="FFFF00"/>
          </w:tcPr>
          <w:p w:rsidR="00257550" w:rsidRPr="00257550" w:rsidRDefault="00257550" w:rsidP="00257550">
            <w:pPr>
              <w:rPr>
                <w:rFonts w:ascii="Arial" w:hAnsi="Arial" w:cs="Arial"/>
                <w:sz w:val="20"/>
                <w:szCs w:val="20"/>
                <w:lang w:val="en-GB"/>
              </w:rPr>
            </w:pPr>
            <w:r w:rsidRPr="00257550">
              <w:rPr>
                <w:rFonts w:ascii="Arial" w:hAnsi="Arial" w:cs="Arial"/>
                <w:sz w:val="20"/>
                <w:szCs w:val="20"/>
                <w:lang w:val="en-GB"/>
              </w:rPr>
              <w:t>Field</w:t>
            </w:r>
            <w:r>
              <w:rPr>
                <w:rFonts w:ascii="Arial" w:hAnsi="Arial" w:cs="Arial"/>
                <w:sz w:val="20"/>
                <w:szCs w:val="20"/>
                <w:lang w:val="en-GB"/>
              </w:rPr>
              <w:t xml:space="preserve"> </w:t>
            </w:r>
            <w:r w:rsidRPr="00257550">
              <w:rPr>
                <w:rFonts w:ascii="Arial" w:hAnsi="Arial" w:cs="Arial"/>
                <w:sz w:val="20"/>
                <w:szCs w:val="20"/>
                <w:lang w:val="en-GB"/>
              </w:rPr>
              <w:t xml:space="preserve">surveys </w:t>
            </w:r>
            <w:r>
              <w:rPr>
                <w:rFonts w:ascii="Arial" w:hAnsi="Arial" w:cs="Arial"/>
                <w:sz w:val="20"/>
                <w:szCs w:val="20"/>
                <w:lang w:val="en-GB"/>
              </w:rPr>
              <w:t xml:space="preserve">and sampling </w:t>
            </w:r>
            <w:r w:rsidRPr="00257550">
              <w:rPr>
                <w:rFonts w:ascii="Arial" w:hAnsi="Arial" w:cs="Arial"/>
                <w:sz w:val="20"/>
                <w:szCs w:val="20"/>
                <w:lang w:val="en-GB"/>
              </w:rPr>
              <w:t>remain essential to monitor soil carbon stocks, because the satellite</w:t>
            </w:r>
            <w:r>
              <w:rPr>
                <w:rFonts w:ascii="Arial" w:hAnsi="Arial" w:cs="Arial"/>
                <w:sz w:val="20"/>
                <w:szCs w:val="20"/>
                <w:lang w:val="en-GB"/>
              </w:rPr>
              <w:t xml:space="preserve"> </w:t>
            </w:r>
            <w:r w:rsidRPr="00257550">
              <w:rPr>
                <w:rFonts w:ascii="Arial" w:hAnsi="Arial" w:cs="Arial"/>
                <w:sz w:val="20"/>
                <w:szCs w:val="20"/>
                <w:lang w:val="en-GB"/>
              </w:rPr>
              <w:t xml:space="preserve">imagery </w:t>
            </w:r>
            <w:r>
              <w:rPr>
                <w:rFonts w:ascii="Arial" w:hAnsi="Arial" w:cs="Arial"/>
                <w:sz w:val="20"/>
                <w:szCs w:val="20"/>
                <w:lang w:val="en-GB"/>
              </w:rPr>
              <w:t xml:space="preserve">– while improving – are not adequate enough </w:t>
            </w:r>
          </w:p>
          <w:p w:rsidR="00257550" w:rsidRDefault="00257550" w:rsidP="00257550">
            <w:pPr>
              <w:rPr>
                <w:rFonts w:ascii="Arial" w:hAnsi="Arial" w:cs="Arial"/>
                <w:sz w:val="20"/>
                <w:szCs w:val="20"/>
                <w:lang w:val="en-GB"/>
              </w:rPr>
            </w:pPr>
            <w:r w:rsidRPr="00257550">
              <w:rPr>
                <w:rFonts w:ascii="Arial" w:hAnsi="Arial" w:cs="Arial"/>
                <w:sz w:val="20"/>
                <w:szCs w:val="20"/>
                <w:lang w:val="en-GB"/>
              </w:rPr>
              <w:t xml:space="preserve">give reliable information about </w:t>
            </w:r>
            <w:r>
              <w:rPr>
                <w:rFonts w:ascii="Arial" w:hAnsi="Arial" w:cs="Arial"/>
                <w:sz w:val="20"/>
                <w:szCs w:val="20"/>
                <w:lang w:val="en-GB"/>
              </w:rPr>
              <w:t xml:space="preserve">soil </w:t>
            </w:r>
            <w:r w:rsidRPr="00257550">
              <w:rPr>
                <w:rFonts w:ascii="Arial" w:hAnsi="Arial" w:cs="Arial"/>
                <w:sz w:val="20"/>
                <w:szCs w:val="20"/>
                <w:lang w:val="en-GB"/>
              </w:rPr>
              <w:t>carbon</w:t>
            </w:r>
            <w:r>
              <w:rPr>
                <w:rFonts w:ascii="Arial" w:hAnsi="Arial" w:cs="Arial"/>
                <w:sz w:val="20"/>
                <w:szCs w:val="20"/>
                <w:lang w:val="en-GB"/>
              </w:rPr>
              <w:t xml:space="preserve"> </w:t>
            </w:r>
            <w:r w:rsidRPr="00257550">
              <w:rPr>
                <w:rFonts w:ascii="Arial" w:hAnsi="Arial" w:cs="Arial"/>
                <w:sz w:val="20"/>
                <w:szCs w:val="20"/>
                <w:lang w:val="en-GB"/>
              </w:rPr>
              <w:t>stocks</w:t>
            </w:r>
            <w:r>
              <w:rPr>
                <w:rFonts w:ascii="Arial" w:hAnsi="Arial" w:cs="Arial"/>
                <w:sz w:val="20"/>
                <w:szCs w:val="20"/>
                <w:lang w:val="en-GB"/>
              </w:rPr>
              <w:t xml:space="preserve"> and changes.</w:t>
            </w:r>
          </w:p>
          <w:p w:rsidR="00257550" w:rsidRPr="00257550" w:rsidRDefault="00257550" w:rsidP="00257550">
            <w:pPr>
              <w:rPr>
                <w:rFonts w:ascii="Arial" w:hAnsi="Arial" w:cs="Arial"/>
                <w:sz w:val="20"/>
                <w:szCs w:val="20"/>
                <w:lang w:val="en-GB"/>
              </w:rPr>
            </w:pPr>
            <w:r>
              <w:rPr>
                <w:rFonts w:ascii="Arial" w:hAnsi="Arial" w:cs="Arial"/>
                <w:sz w:val="20"/>
                <w:szCs w:val="20"/>
                <w:lang w:val="en-GB"/>
              </w:rPr>
              <w:t xml:space="preserve">Nevertheless, satellite </w:t>
            </w:r>
            <w:r w:rsidR="00624B1E">
              <w:rPr>
                <w:rFonts w:ascii="Arial" w:hAnsi="Arial" w:cs="Arial"/>
                <w:sz w:val="20"/>
                <w:szCs w:val="20"/>
                <w:lang w:val="en-GB"/>
              </w:rPr>
              <w:t xml:space="preserve">imagery and modelling efforts are necessary </w:t>
            </w:r>
            <w:r w:rsidRPr="00257550">
              <w:rPr>
                <w:rFonts w:ascii="Arial" w:hAnsi="Arial" w:cs="Arial"/>
                <w:sz w:val="20"/>
                <w:szCs w:val="20"/>
                <w:lang w:val="en-GB"/>
              </w:rPr>
              <w:t>for spatial and temporal extrapolation.</w:t>
            </w:r>
          </w:p>
          <w:p w:rsidR="001112A9" w:rsidRDefault="00257550" w:rsidP="00257550">
            <w:pPr>
              <w:rPr>
                <w:rFonts w:ascii="Arial" w:hAnsi="Arial" w:cs="Arial"/>
                <w:sz w:val="20"/>
                <w:szCs w:val="20"/>
                <w:lang w:val="en-GB"/>
              </w:rPr>
            </w:pPr>
            <w:r>
              <w:rPr>
                <w:rFonts w:ascii="Arial" w:hAnsi="Arial" w:cs="Arial"/>
                <w:sz w:val="20"/>
                <w:szCs w:val="20"/>
                <w:lang w:val="en-GB"/>
              </w:rPr>
              <w:t>T</w:t>
            </w:r>
            <w:r w:rsidR="00795E20">
              <w:rPr>
                <w:rFonts w:ascii="Arial" w:hAnsi="Arial" w:cs="Arial"/>
                <w:sz w:val="20"/>
                <w:szCs w:val="20"/>
                <w:lang w:val="en-GB"/>
              </w:rPr>
              <w:t>he current methodologies for monito</w:t>
            </w:r>
            <w:r w:rsidR="005A3953">
              <w:rPr>
                <w:rFonts w:ascii="Arial" w:hAnsi="Arial" w:cs="Arial"/>
                <w:sz w:val="20"/>
                <w:szCs w:val="20"/>
                <w:lang w:val="en-GB"/>
              </w:rPr>
              <w:t>ring the SO</w:t>
            </w:r>
            <w:r w:rsidR="008E45C4">
              <w:rPr>
                <w:rFonts w:ascii="Arial" w:hAnsi="Arial" w:cs="Arial"/>
                <w:sz w:val="20"/>
                <w:szCs w:val="20"/>
                <w:lang w:val="en-GB"/>
              </w:rPr>
              <w:t>C pool variations</w:t>
            </w:r>
            <w:r w:rsidR="00795E20">
              <w:rPr>
                <w:rFonts w:ascii="Arial" w:hAnsi="Arial" w:cs="Arial"/>
                <w:sz w:val="20"/>
                <w:szCs w:val="20"/>
                <w:lang w:val="en-GB"/>
              </w:rPr>
              <w:t xml:space="preserve"> require repeated soil sampling </w:t>
            </w:r>
            <w:r w:rsidR="009629CC">
              <w:rPr>
                <w:rFonts w:ascii="Arial" w:hAnsi="Arial" w:cs="Arial"/>
                <w:sz w:val="20"/>
                <w:szCs w:val="20"/>
                <w:lang w:val="en-GB"/>
              </w:rPr>
              <w:t>(</w:t>
            </w:r>
            <w:proofErr w:type="spellStart"/>
            <w:r w:rsidR="009629CC">
              <w:rPr>
                <w:rFonts w:ascii="Arial" w:hAnsi="Arial" w:cs="Arial"/>
                <w:sz w:val="20"/>
                <w:szCs w:val="20"/>
                <w:lang w:val="en-GB"/>
              </w:rPr>
              <w:t>Stolbovoy</w:t>
            </w:r>
            <w:proofErr w:type="spellEnd"/>
            <w:r w:rsidR="009629CC">
              <w:rPr>
                <w:rFonts w:ascii="Arial" w:hAnsi="Arial" w:cs="Arial"/>
                <w:sz w:val="20"/>
                <w:szCs w:val="20"/>
                <w:lang w:val="en-GB"/>
              </w:rPr>
              <w:t xml:space="preserve"> 2005) </w:t>
            </w:r>
            <w:r w:rsidR="00795E20">
              <w:rPr>
                <w:rFonts w:ascii="Arial" w:hAnsi="Arial" w:cs="Arial"/>
                <w:sz w:val="20"/>
                <w:szCs w:val="20"/>
                <w:lang w:val="en-GB"/>
              </w:rPr>
              <w:t xml:space="preserve">and the consequent C analyses in laboratory by chemical methods (e.g. </w:t>
            </w:r>
            <w:proofErr w:type="spellStart"/>
            <w:r w:rsidR="00795E20">
              <w:rPr>
                <w:rFonts w:ascii="Arial" w:hAnsi="Arial" w:cs="Arial"/>
                <w:sz w:val="20"/>
                <w:szCs w:val="20"/>
                <w:lang w:val="en-GB"/>
              </w:rPr>
              <w:t>Walkley</w:t>
            </w:r>
            <w:proofErr w:type="spellEnd"/>
            <w:r w:rsidR="00795E20">
              <w:rPr>
                <w:rFonts w:ascii="Arial" w:hAnsi="Arial" w:cs="Arial"/>
                <w:sz w:val="20"/>
                <w:szCs w:val="20"/>
                <w:lang w:val="en-GB"/>
              </w:rPr>
              <w:t>-Black) or more recent techniques (e.g. dry combustion).</w:t>
            </w:r>
          </w:p>
          <w:p w:rsidR="00357FA0" w:rsidRDefault="00795E20" w:rsidP="00357FA0">
            <w:pPr>
              <w:rPr>
                <w:rFonts w:ascii="Arial" w:hAnsi="Arial" w:cs="Arial"/>
                <w:sz w:val="20"/>
                <w:szCs w:val="20"/>
                <w:lang w:val="en-GB"/>
              </w:rPr>
            </w:pPr>
            <w:r>
              <w:rPr>
                <w:rFonts w:ascii="Arial" w:hAnsi="Arial" w:cs="Arial"/>
                <w:sz w:val="20"/>
                <w:szCs w:val="20"/>
                <w:lang w:val="en-GB"/>
              </w:rPr>
              <w:t>Other emerging techniques for determining the amount of SOC comprise the v</w:t>
            </w:r>
            <w:r w:rsidRPr="00795E20">
              <w:rPr>
                <w:rFonts w:ascii="Arial" w:hAnsi="Arial" w:cs="Arial"/>
                <w:sz w:val="20"/>
                <w:szCs w:val="20"/>
                <w:lang w:val="en-GB"/>
              </w:rPr>
              <w:t>isible and near infrared diffuse reflectance spectroscopy</w:t>
            </w:r>
            <w:r w:rsidR="00357FA0">
              <w:rPr>
                <w:rFonts w:ascii="Arial" w:hAnsi="Arial" w:cs="Arial"/>
                <w:sz w:val="20"/>
                <w:szCs w:val="20"/>
                <w:lang w:val="en-GB"/>
              </w:rPr>
              <w:t>, that</w:t>
            </w:r>
            <w:r w:rsidRPr="00795E20">
              <w:rPr>
                <w:rFonts w:ascii="Arial" w:hAnsi="Arial" w:cs="Arial"/>
                <w:sz w:val="20"/>
                <w:szCs w:val="20"/>
                <w:lang w:val="en-GB"/>
              </w:rPr>
              <w:t xml:space="preserve"> has produced promising results to infer </w:t>
            </w:r>
            <w:r w:rsidR="009629CC">
              <w:rPr>
                <w:rFonts w:ascii="Arial" w:hAnsi="Arial" w:cs="Arial"/>
                <w:sz w:val="20"/>
                <w:szCs w:val="20"/>
                <w:lang w:val="en-GB"/>
              </w:rPr>
              <w:t>SOC</w:t>
            </w:r>
            <w:r w:rsidRPr="00795E20">
              <w:rPr>
                <w:rFonts w:ascii="Arial" w:hAnsi="Arial" w:cs="Arial"/>
                <w:sz w:val="20"/>
                <w:szCs w:val="20"/>
                <w:lang w:val="en-GB"/>
              </w:rPr>
              <w:t xml:space="preserve"> content in the laboratory. However, using soil spectra measured directly in the field or with airborne imaging spectrometers remains challenging due to uncontrolled variations in surface soil conditions, like vegetation cover, soil moisture and roughness.</w:t>
            </w:r>
            <w:r w:rsidR="00357FA0">
              <w:rPr>
                <w:rFonts w:ascii="Arial" w:hAnsi="Arial" w:cs="Arial"/>
                <w:sz w:val="20"/>
                <w:szCs w:val="20"/>
                <w:lang w:val="en-GB"/>
              </w:rPr>
              <w:t xml:space="preserve"> However, </w:t>
            </w:r>
            <w:r w:rsidR="00357FA0" w:rsidRPr="00357FA0">
              <w:rPr>
                <w:rFonts w:ascii="Arial" w:hAnsi="Arial" w:cs="Arial"/>
                <w:sz w:val="20"/>
                <w:szCs w:val="20"/>
                <w:lang w:val="en-GB"/>
              </w:rPr>
              <w:t>Stevens et al. (2008) and Morgan et al. (2009) demonstrated that SOC can be measured in the field at the expense of a slight decrease of accuracy compared to laboratory measurements.</w:t>
            </w:r>
            <w:r w:rsidR="00357FA0" w:rsidRPr="00257550">
              <w:rPr>
                <w:lang w:val="en-US"/>
              </w:rPr>
              <w:t xml:space="preserve"> </w:t>
            </w:r>
            <w:r w:rsidR="00357FA0" w:rsidRPr="00357FA0">
              <w:rPr>
                <w:rFonts w:ascii="Arial" w:hAnsi="Arial" w:cs="Arial"/>
                <w:sz w:val="20"/>
                <w:szCs w:val="20"/>
                <w:lang w:val="en-GB"/>
              </w:rPr>
              <w:t>Both laboratory and field spectroscopy predicted SOC content more accurately than airborne imaging spectroscopy (AIS) due to atmospheric attenuation, low signal to noise ratio (SNR), and unstable illumination conditions during the flight (Stevens et al., 2010).</w:t>
            </w:r>
          </w:p>
          <w:p w:rsidR="00297093" w:rsidRDefault="00297093" w:rsidP="00357FA0">
            <w:pPr>
              <w:rPr>
                <w:rFonts w:ascii="Arial" w:hAnsi="Arial" w:cs="Arial"/>
                <w:sz w:val="20"/>
                <w:szCs w:val="20"/>
                <w:lang w:val="en-GB"/>
              </w:rPr>
            </w:pPr>
          </w:p>
          <w:p w:rsidR="00297093" w:rsidRPr="00297093" w:rsidRDefault="00297093" w:rsidP="00357FA0">
            <w:pPr>
              <w:rPr>
                <w:rFonts w:ascii="Arial" w:hAnsi="Arial" w:cs="Arial"/>
                <w:i/>
                <w:sz w:val="20"/>
                <w:szCs w:val="20"/>
                <w:u w:val="single"/>
                <w:lang w:val="en-GB"/>
              </w:rPr>
            </w:pPr>
            <w:r w:rsidRPr="00297093">
              <w:rPr>
                <w:rFonts w:ascii="Arial" w:hAnsi="Arial" w:cs="Arial"/>
                <w:i/>
                <w:sz w:val="20"/>
                <w:szCs w:val="20"/>
                <w:u w:val="single"/>
                <w:lang w:val="en-GB"/>
              </w:rPr>
              <w:t>References:</w:t>
            </w:r>
          </w:p>
          <w:p w:rsidR="00297093" w:rsidRDefault="00297093" w:rsidP="00357FA0">
            <w:pPr>
              <w:rPr>
                <w:rFonts w:ascii="Arial" w:hAnsi="Arial" w:cs="Arial"/>
                <w:sz w:val="20"/>
                <w:szCs w:val="20"/>
                <w:lang w:val="en-GB"/>
              </w:rPr>
            </w:pPr>
            <w:r w:rsidRPr="00297093">
              <w:rPr>
                <w:rFonts w:ascii="Arial" w:hAnsi="Arial" w:cs="Arial"/>
                <w:sz w:val="20"/>
                <w:szCs w:val="20"/>
                <w:lang w:val="en-GB"/>
              </w:rPr>
              <w:t xml:space="preserve">Morgan, C.L.S., </w:t>
            </w:r>
            <w:proofErr w:type="spellStart"/>
            <w:r w:rsidRPr="00297093">
              <w:rPr>
                <w:rFonts w:ascii="Arial" w:hAnsi="Arial" w:cs="Arial"/>
                <w:sz w:val="20"/>
                <w:szCs w:val="20"/>
                <w:lang w:val="en-GB"/>
              </w:rPr>
              <w:t>Waiser</w:t>
            </w:r>
            <w:proofErr w:type="spellEnd"/>
            <w:r w:rsidRPr="00297093">
              <w:rPr>
                <w:rFonts w:ascii="Arial" w:hAnsi="Arial" w:cs="Arial"/>
                <w:sz w:val="20"/>
                <w:szCs w:val="20"/>
                <w:lang w:val="en-GB"/>
              </w:rPr>
              <w:t xml:space="preserve">, T.H., Brown, D.J., Hallmark, C.T., 2009. Simulated in situ </w:t>
            </w:r>
            <w:proofErr w:type="spellStart"/>
            <w:r w:rsidRPr="00297093">
              <w:rPr>
                <w:rFonts w:ascii="Arial" w:hAnsi="Arial" w:cs="Arial"/>
                <w:sz w:val="20"/>
                <w:szCs w:val="20"/>
                <w:lang w:val="en-GB"/>
              </w:rPr>
              <w:t>charac</w:t>
            </w:r>
            <w:proofErr w:type="spellEnd"/>
            <w:r w:rsidRPr="00297093">
              <w:rPr>
                <w:rFonts w:ascii="Arial" w:hAnsi="Arial" w:cs="Arial"/>
                <w:sz w:val="20"/>
                <w:szCs w:val="20"/>
                <w:lang w:val="en-GB"/>
              </w:rPr>
              <w:t xml:space="preserve">- </w:t>
            </w:r>
            <w:proofErr w:type="spellStart"/>
            <w:r w:rsidRPr="00297093">
              <w:rPr>
                <w:rFonts w:ascii="Arial" w:hAnsi="Arial" w:cs="Arial"/>
                <w:sz w:val="20"/>
                <w:szCs w:val="20"/>
                <w:lang w:val="en-GB"/>
              </w:rPr>
              <w:t>terization</w:t>
            </w:r>
            <w:proofErr w:type="spellEnd"/>
            <w:r w:rsidRPr="00297093">
              <w:rPr>
                <w:rFonts w:ascii="Arial" w:hAnsi="Arial" w:cs="Arial"/>
                <w:sz w:val="20"/>
                <w:szCs w:val="20"/>
                <w:lang w:val="en-GB"/>
              </w:rPr>
              <w:t xml:space="preserve"> of soil organic and inorganic carbon using visible near infrared diffuse reflectance spectroscopy. </w:t>
            </w:r>
            <w:proofErr w:type="spellStart"/>
            <w:r w:rsidRPr="00297093">
              <w:rPr>
                <w:rFonts w:ascii="Arial" w:hAnsi="Arial" w:cs="Arial"/>
                <w:sz w:val="20"/>
                <w:szCs w:val="20"/>
                <w:lang w:val="en-GB"/>
              </w:rPr>
              <w:t>Geoderma</w:t>
            </w:r>
            <w:proofErr w:type="spellEnd"/>
            <w:r w:rsidRPr="00297093">
              <w:rPr>
                <w:rFonts w:ascii="Arial" w:hAnsi="Arial" w:cs="Arial"/>
                <w:sz w:val="20"/>
                <w:szCs w:val="20"/>
                <w:lang w:val="en-GB"/>
              </w:rPr>
              <w:t xml:space="preserve"> 151, 249–256.</w:t>
            </w:r>
          </w:p>
          <w:p w:rsidR="00297093" w:rsidRDefault="00297093" w:rsidP="00357FA0">
            <w:pPr>
              <w:rPr>
                <w:rFonts w:ascii="Arial" w:hAnsi="Arial" w:cs="Arial"/>
                <w:sz w:val="20"/>
                <w:szCs w:val="20"/>
                <w:lang w:val="en-GB"/>
              </w:rPr>
            </w:pPr>
            <w:r w:rsidRPr="00297093">
              <w:rPr>
                <w:rFonts w:ascii="Arial" w:hAnsi="Arial" w:cs="Arial"/>
                <w:sz w:val="20"/>
                <w:szCs w:val="20"/>
                <w:lang w:val="en-GB"/>
              </w:rPr>
              <w:t xml:space="preserve">Stevens, A., Van </w:t>
            </w:r>
            <w:proofErr w:type="spellStart"/>
            <w:r w:rsidRPr="00297093">
              <w:rPr>
                <w:rFonts w:ascii="Arial" w:hAnsi="Arial" w:cs="Arial"/>
                <w:sz w:val="20"/>
                <w:szCs w:val="20"/>
                <w:lang w:val="en-GB"/>
              </w:rPr>
              <w:t>Wesemael</w:t>
            </w:r>
            <w:proofErr w:type="spellEnd"/>
            <w:r w:rsidRPr="00297093">
              <w:rPr>
                <w:rFonts w:ascii="Arial" w:hAnsi="Arial" w:cs="Arial"/>
                <w:sz w:val="20"/>
                <w:szCs w:val="20"/>
                <w:lang w:val="en-GB"/>
              </w:rPr>
              <w:t xml:space="preserve">, B., </w:t>
            </w:r>
            <w:proofErr w:type="spellStart"/>
            <w:r w:rsidRPr="00297093">
              <w:rPr>
                <w:rFonts w:ascii="Arial" w:hAnsi="Arial" w:cs="Arial"/>
                <w:sz w:val="20"/>
                <w:szCs w:val="20"/>
                <w:lang w:val="en-GB"/>
              </w:rPr>
              <w:t>Bartholomeus</w:t>
            </w:r>
            <w:proofErr w:type="spellEnd"/>
            <w:r w:rsidRPr="00297093">
              <w:rPr>
                <w:rFonts w:ascii="Arial" w:hAnsi="Arial" w:cs="Arial"/>
                <w:sz w:val="20"/>
                <w:szCs w:val="20"/>
                <w:lang w:val="en-GB"/>
              </w:rPr>
              <w:t xml:space="preserve">, H., </w:t>
            </w:r>
            <w:proofErr w:type="spellStart"/>
            <w:r w:rsidRPr="00297093">
              <w:rPr>
                <w:rFonts w:ascii="Arial" w:hAnsi="Arial" w:cs="Arial"/>
                <w:sz w:val="20"/>
                <w:szCs w:val="20"/>
                <w:lang w:val="en-GB"/>
              </w:rPr>
              <w:t>Rosillon</w:t>
            </w:r>
            <w:proofErr w:type="spellEnd"/>
            <w:r w:rsidRPr="00297093">
              <w:rPr>
                <w:rFonts w:ascii="Arial" w:hAnsi="Arial" w:cs="Arial"/>
                <w:sz w:val="20"/>
                <w:szCs w:val="20"/>
                <w:lang w:val="en-GB"/>
              </w:rPr>
              <w:t xml:space="preserve">, D., </w:t>
            </w:r>
            <w:proofErr w:type="spellStart"/>
            <w:r w:rsidRPr="00297093">
              <w:rPr>
                <w:rFonts w:ascii="Arial" w:hAnsi="Arial" w:cs="Arial"/>
                <w:sz w:val="20"/>
                <w:szCs w:val="20"/>
                <w:lang w:val="en-GB"/>
              </w:rPr>
              <w:t>Tychon</w:t>
            </w:r>
            <w:proofErr w:type="spellEnd"/>
            <w:r w:rsidRPr="00297093">
              <w:rPr>
                <w:rFonts w:ascii="Arial" w:hAnsi="Arial" w:cs="Arial"/>
                <w:sz w:val="20"/>
                <w:szCs w:val="20"/>
                <w:lang w:val="en-GB"/>
              </w:rPr>
              <w:t>, B., Ben-</w:t>
            </w:r>
            <w:proofErr w:type="spellStart"/>
            <w:r w:rsidRPr="00297093">
              <w:rPr>
                <w:rFonts w:ascii="Arial" w:hAnsi="Arial" w:cs="Arial"/>
                <w:sz w:val="20"/>
                <w:szCs w:val="20"/>
                <w:lang w:val="en-GB"/>
              </w:rPr>
              <w:t>Dor</w:t>
            </w:r>
            <w:proofErr w:type="spellEnd"/>
            <w:r w:rsidRPr="00297093">
              <w:rPr>
                <w:rFonts w:ascii="Arial" w:hAnsi="Arial" w:cs="Arial"/>
                <w:sz w:val="20"/>
                <w:szCs w:val="20"/>
                <w:lang w:val="en-GB"/>
              </w:rPr>
              <w:t xml:space="preserve">, E., 2008. Laboratory, field and airborne spectroscopy for monitoring organic carbon content in agricultural soils. </w:t>
            </w:r>
            <w:proofErr w:type="spellStart"/>
            <w:r w:rsidRPr="00297093">
              <w:rPr>
                <w:rFonts w:ascii="Arial" w:hAnsi="Arial" w:cs="Arial"/>
                <w:sz w:val="20"/>
                <w:szCs w:val="20"/>
                <w:lang w:val="en-GB"/>
              </w:rPr>
              <w:t>Geoderma</w:t>
            </w:r>
            <w:proofErr w:type="spellEnd"/>
            <w:r w:rsidRPr="00297093">
              <w:rPr>
                <w:rFonts w:ascii="Arial" w:hAnsi="Arial" w:cs="Arial"/>
                <w:sz w:val="20"/>
                <w:szCs w:val="20"/>
                <w:lang w:val="en-GB"/>
              </w:rPr>
              <w:t xml:space="preserve"> 144, 395–404.</w:t>
            </w:r>
          </w:p>
          <w:p w:rsidR="00297093" w:rsidRDefault="00297093" w:rsidP="00357FA0">
            <w:pPr>
              <w:rPr>
                <w:rFonts w:ascii="Arial" w:hAnsi="Arial" w:cs="Arial"/>
                <w:sz w:val="20"/>
                <w:szCs w:val="20"/>
                <w:lang w:val="en-GB"/>
              </w:rPr>
            </w:pPr>
            <w:r w:rsidRPr="00297093">
              <w:rPr>
                <w:rFonts w:ascii="Arial" w:hAnsi="Arial" w:cs="Arial"/>
                <w:sz w:val="20"/>
                <w:szCs w:val="20"/>
                <w:lang w:val="en-GB"/>
              </w:rPr>
              <w:t xml:space="preserve">Stevens, A., </w:t>
            </w:r>
            <w:proofErr w:type="spellStart"/>
            <w:r w:rsidRPr="00297093">
              <w:rPr>
                <w:rFonts w:ascii="Arial" w:hAnsi="Arial" w:cs="Arial"/>
                <w:sz w:val="20"/>
                <w:szCs w:val="20"/>
                <w:lang w:val="en-GB"/>
              </w:rPr>
              <w:t>Udelhoven</w:t>
            </w:r>
            <w:proofErr w:type="spellEnd"/>
            <w:r w:rsidRPr="00297093">
              <w:rPr>
                <w:rFonts w:ascii="Arial" w:hAnsi="Arial" w:cs="Arial"/>
                <w:sz w:val="20"/>
                <w:szCs w:val="20"/>
                <w:lang w:val="en-GB"/>
              </w:rPr>
              <w:t xml:space="preserve">, T., Denis, A., </w:t>
            </w:r>
            <w:proofErr w:type="spellStart"/>
            <w:r w:rsidRPr="00297093">
              <w:rPr>
                <w:rFonts w:ascii="Arial" w:hAnsi="Arial" w:cs="Arial"/>
                <w:sz w:val="20"/>
                <w:szCs w:val="20"/>
                <w:lang w:val="en-GB"/>
              </w:rPr>
              <w:t>Tychon</w:t>
            </w:r>
            <w:proofErr w:type="spellEnd"/>
            <w:r w:rsidRPr="00297093">
              <w:rPr>
                <w:rFonts w:ascii="Arial" w:hAnsi="Arial" w:cs="Arial"/>
                <w:sz w:val="20"/>
                <w:szCs w:val="20"/>
                <w:lang w:val="en-GB"/>
              </w:rPr>
              <w:t xml:space="preserve">, B., </w:t>
            </w:r>
            <w:proofErr w:type="spellStart"/>
            <w:r w:rsidRPr="00297093">
              <w:rPr>
                <w:rFonts w:ascii="Arial" w:hAnsi="Arial" w:cs="Arial"/>
                <w:sz w:val="20"/>
                <w:szCs w:val="20"/>
                <w:lang w:val="en-GB"/>
              </w:rPr>
              <w:t>Lioy</w:t>
            </w:r>
            <w:proofErr w:type="spellEnd"/>
            <w:r w:rsidRPr="00297093">
              <w:rPr>
                <w:rFonts w:ascii="Arial" w:hAnsi="Arial" w:cs="Arial"/>
                <w:sz w:val="20"/>
                <w:szCs w:val="20"/>
                <w:lang w:val="en-GB"/>
              </w:rPr>
              <w:t xml:space="preserve">, R., Hoffman, L., Van </w:t>
            </w:r>
            <w:proofErr w:type="spellStart"/>
            <w:r w:rsidRPr="00297093">
              <w:rPr>
                <w:rFonts w:ascii="Arial" w:hAnsi="Arial" w:cs="Arial"/>
                <w:sz w:val="20"/>
                <w:szCs w:val="20"/>
                <w:lang w:val="en-GB"/>
              </w:rPr>
              <w:t>Wesemael</w:t>
            </w:r>
            <w:proofErr w:type="spellEnd"/>
            <w:r w:rsidRPr="00297093">
              <w:rPr>
                <w:rFonts w:ascii="Arial" w:hAnsi="Arial" w:cs="Arial"/>
                <w:sz w:val="20"/>
                <w:szCs w:val="20"/>
                <w:lang w:val="en-GB"/>
              </w:rPr>
              <w:t xml:space="preserve">, B., 2010. Measuring soil organic carbon in croplands at regional scales using imaging spectroscopy. </w:t>
            </w:r>
            <w:proofErr w:type="spellStart"/>
            <w:r w:rsidRPr="00297093">
              <w:rPr>
                <w:rFonts w:ascii="Arial" w:hAnsi="Arial" w:cs="Arial"/>
                <w:sz w:val="20"/>
                <w:szCs w:val="20"/>
                <w:lang w:val="en-GB"/>
              </w:rPr>
              <w:t>Geoderma</w:t>
            </w:r>
            <w:proofErr w:type="spellEnd"/>
            <w:r w:rsidRPr="00297093">
              <w:rPr>
                <w:rFonts w:ascii="Arial" w:hAnsi="Arial" w:cs="Arial"/>
                <w:sz w:val="20"/>
                <w:szCs w:val="20"/>
                <w:lang w:val="en-GB"/>
              </w:rPr>
              <w:t xml:space="preserve"> 158, 32–45.</w:t>
            </w:r>
          </w:p>
          <w:p w:rsidR="008E45C4" w:rsidRPr="001112A9" w:rsidRDefault="008E45C4" w:rsidP="008E45C4">
            <w:pPr>
              <w:rPr>
                <w:rFonts w:ascii="Arial" w:hAnsi="Arial" w:cs="Arial"/>
                <w:sz w:val="20"/>
                <w:szCs w:val="20"/>
                <w:lang w:val="en-GB"/>
              </w:rPr>
            </w:pPr>
            <w:proofErr w:type="spellStart"/>
            <w:r w:rsidRPr="008E45C4">
              <w:rPr>
                <w:rFonts w:ascii="Arial" w:hAnsi="Arial" w:cs="Arial"/>
                <w:sz w:val="20"/>
                <w:szCs w:val="20"/>
                <w:lang w:val="en-GB"/>
              </w:rPr>
              <w:t>Stolbovoy</w:t>
            </w:r>
            <w:proofErr w:type="spellEnd"/>
            <w:r w:rsidRPr="008E45C4">
              <w:rPr>
                <w:rFonts w:ascii="Arial" w:hAnsi="Arial" w:cs="Arial"/>
                <w:sz w:val="20"/>
                <w:szCs w:val="20"/>
                <w:lang w:val="en-GB"/>
              </w:rPr>
              <w:t xml:space="preserve"> V, </w:t>
            </w:r>
            <w:proofErr w:type="spellStart"/>
            <w:r w:rsidRPr="008E45C4">
              <w:rPr>
                <w:rFonts w:ascii="Arial" w:hAnsi="Arial" w:cs="Arial"/>
                <w:sz w:val="20"/>
                <w:szCs w:val="20"/>
                <w:lang w:val="en-GB"/>
              </w:rPr>
              <w:t>Montanarella</w:t>
            </w:r>
            <w:proofErr w:type="spellEnd"/>
            <w:r w:rsidRPr="008E45C4">
              <w:rPr>
                <w:rFonts w:ascii="Arial" w:hAnsi="Arial" w:cs="Arial"/>
                <w:sz w:val="20"/>
                <w:szCs w:val="20"/>
                <w:lang w:val="en-GB"/>
              </w:rPr>
              <w:t xml:space="preserve"> L, </w:t>
            </w:r>
            <w:proofErr w:type="spellStart"/>
            <w:r w:rsidRPr="008E45C4">
              <w:rPr>
                <w:rFonts w:ascii="Arial" w:hAnsi="Arial" w:cs="Arial"/>
                <w:sz w:val="20"/>
                <w:szCs w:val="20"/>
                <w:lang w:val="en-GB"/>
              </w:rPr>
              <w:t>Filippi</w:t>
            </w:r>
            <w:proofErr w:type="spellEnd"/>
            <w:r w:rsidRPr="008E45C4">
              <w:rPr>
                <w:rFonts w:ascii="Arial" w:hAnsi="Arial" w:cs="Arial"/>
                <w:sz w:val="20"/>
                <w:szCs w:val="20"/>
                <w:lang w:val="en-GB"/>
              </w:rPr>
              <w:t xml:space="preserve"> N, </w:t>
            </w:r>
            <w:proofErr w:type="spellStart"/>
            <w:r w:rsidRPr="008E45C4">
              <w:rPr>
                <w:rFonts w:ascii="Arial" w:hAnsi="Arial" w:cs="Arial"/>
                <w:sz w:val="20"/>
                <w:szCs w:val="20"/>
                <w:lang w:val="en-GB"/>
              </w:rPr>
              <w:t>Selvaradjou</w:t>
            </w:r>
            <w:proofErr w:type="spellEnd"/>
            <w:r w:rsidRPr="008E45C4">
              <w:rPr>
                <w:rFonts w:ascii="Arial" w:hAnsi="Arial" w:cs="Arial"/>
                <w:sz w:val="20"/>
                <w:szCs w:val="20"/>
                <w:lang w:val="en-GB"/>
              </w:rPr>
              <w:t xml:space="preserve"> SK,</w:t>
            </w:r>
            <w:r>
              <w:rPr>
                <w:rFonts w:ascii="Arial" w:hAnsi="Arial" w:cs="Arial"/>
                <w:sz w:val="20"/>
                <w:szCs w:val="20"/>
                <w:lang w:val="en-GB"/>
              </w:rPr>
              <w:t xml:space="preserve"> </w:t>
            </w:r>
            <w:proofErr w:type="spellStart"/>
            <w:r w:rsidRPr="008E45C4">
              <w:rPr>
                <w:rFonts w:ascii="Arial" w:hAnsi="Arial" w:cs="Arial"/>
                <w:sz w:val="20"/>
                <w:szCs w:val="20"/>
                <w:lang w:val="en-GB"/>
              </w:rPr>
              <w:t>Panagos</w:t>
            </w:r>
            <w:proofErr w:type="spellEnd"/>
            <w:r w:rsidRPr="008E45C4">
              <w:rPr>
                <w:rFonts w:ascii="Arial" w:hAnsi="Arial" w:cs="Arial"/>
                <w:sz w:val="20"/>
                <w:szCs w:val="20"/>
                <w:lang w:val="en-GB"/>
              </w:rPr>
              <w:t xml:space="preserve"> P, </w:t>
            </w:r>
            <w:proofErr w:type="spellStart"/>
            <w:r w:rsidRPr="008E45C4">
              <w:rPr>
                <w:rFonts w:ascii="Arial" w:hAnsi="Arial" w:cs="Arial"/>
                <w:sz w:val="20"/>
                <w:szCs w:val="20"/>
                <w:lang w:val="en-GB"/>
              </w:rPr>
              <w:t>Gallego</w:t>
            </w:r>
            <w:proofErr w:type="spellEnd"/>
            <w:r w:rsidRPr="008E45C4">
              <w:rPr>
                <w:rFonts w:ascii="Arial" w:hAnsi="Arial" w:cs="Arial"/>
                <w:sz w:val="20"/>
                <w:szCs w:val="20"/>
                <w:lang w:val="en-GB"/>
              </w:rPr>
              <w:t xml:space="preserve"> J (2005) Soil sampling protocol to</w:t>
            </w:r>
            <w:r>
              <w:rPr>
                <w:rFonts w:ascii="Arial" w:hAnsi="Arial" w:cs="Arial"/>
                <w:sz w:val="20"/>
                <w:szCs w:val="20"/>
                <w:lang w:val="en-GB"/>
              </w:rPr>
              <w:t xml:space="preserve"> </w:t>
            </w:r>
            <w:r w:rsidRPr="008E45C4">
              <w:rPr>
                <w:rFonts w:ascii="Arial" w:hAnsi="Arial" w:cs="Arial"/>
                <w:sz w:val="20"/>
                <w:szCs w:val="20"/>
                <w:lang w:val="en-GB"/>
              </w:rPr>
              <w:t>certify the changes in organic carbon stock in mineral soils</w:t>
            </w:r>
            <w:r>
              <w:rPr>
                <w:rFonts w:ascii="Arial" w:hAnsi="Arial" w:cs="Arial"/>
                <w:sz w:val="20"/>
                <w:szCs w:val="20"/>
                <w:lang w:val="en-GB"/>
              </w:rPr>
              <w:t xml:space="preserve"> </w:t>
            </w:r>
            <w:r w:rsidRPr="008E45C4">
              <w:rPr>
                <w:rFonts w:ascii="Arial" w:hAnsi="Arial" w:cs="Arial"/>
                <w:sz w:val="20"/>
                <w:szCs w:val="20"/>
                <w:lang w:val="en-GB"/>
              </w:rPr>
              <w:t>of European Union. Version 2. EUR 21576 EN/2. 56 pp.</w:t>
            </w:r>
          </w:p>
        </w:tc>
      </w:tr>
      <w:tr w:rsidR="002C7084" w:rsidRPr="00E34418" w:rsidTr="002C7084">
        <w:tc>
          <w:tcPr>
            <w:tcW w:w="2802" w:type="dxa"/>
          </w:tcPr>
          <w:p w:rsidR="002C7084" w:rsidRPr="002C7084" w:rsidRDefault="002C7084" w:rsidP="002C7084">
            <w:pPr>
              <w:jc w:val="left"/>
              <w:rPr>
                <w:rFonts w:ascii="Arial" w:hAnsi="Arial" w:cs="Arial"/>
                <w:i/>
                <w:sz w:val="20"/>
                <w:szCs w:val="20"/>
                <w:lang w:val="en-GB"/>
              </w:rPr>
            </w:pPr>
            <w:r>
              <w:rPr>
                <w:rFonts w:ascii="Arial" w:hAnsi="Arial" w:cs="Arial"/>
                <w:i/>
                <w:sz w:val="20"/>
                <w:szCs w:val="20"/>
                <w:lang w:val="en-GB"/>
              </w:rPr>
              <w:t>Uncertainties</w:t>
            </w:r>
          </w:p>
        </w:tc>
        <w:tc>
          <w:tcPr>
            <w:tcW w:w="7052" w:type="dxa"/>
            <w:shd w:val="clear" w:color="auto" w:fill="FFFF00"/>
          </w:tcPr>
          <w:p w:rsidR="002C7084" w:rsidRDefault="00257550" w:rsidP="00257550">
            <w:pPr>
              <w:rPr>
                <w:rFonts w:ascii="Arial" w:hAnsi="Arial" w:cs="Arial"/>
                <w:sz w:val="20"/>
                <w:szCs w:val="20"/>
                <w:lang w:val="en-GB"/>
              </w:rPr>
            </w:pPr>
            <w:r w:rsidRPr="00257550">
              <w:rPr>
                <w:rFonts w:ascii="Arial" w:hAnsi="Arial" w:cs="Arial"/>
                <w:sz w:val="20"/>
                <w:szCs w:val="20"/>
                <w:lang w:val="en-GB"/>
              </w:rPr>
              <w:t xml:space="preserve">Uncertainties are very large, particularly in carbon rich soils such as those in permafrost and </w:t>
            </w:r>
            <w:proofErr w:type="spellStart"/>
            <w:r w:rsidRPr="00257550">
              <w:rPr>
                <w:rFonts w:ascii="Arial" w:hAnsi="Arial" w:cs="Arial"/>
                <w:sz w:val="20"/>
                <w:szCs w:val="20"/>
                <w:lang w:val="en-GB"/>
              </w:rPr>
              <w:t>peatland</w:t>
            </w:r>
            <w:proofErr w:type="spellEnd"/>
            <w:r w:rsidRPr="00257550">
              <w:rPr>
                <w:rFonts w:ascii="Arial" w:hAnsi="Arial" w:cs="Arial"/>
                <w:sz w:val="20"/>
                <w:szCs w:val="20"/>
                <w:lang w:val="en-GB"/>
              </w:rPr>
              <w:t xml:space="preserve"> areas.</w:t>
            </w:r>
          </w:p>
          <w:p w:rsidR="00CB694F" w:rsidRPr="001112A9" w:rsidRDefault="00CB694F" w:rsidP="00CB694F">
            <w:pPr>
              <w:rPr>
                <w:rFonts w:ascii="Arial" w:hAnsi="Arial" w:cs="Arial"/>
                <w:sz w:val="20"/>
                <w:szCs w:val="20"/>
                <w:lang w:val="en-GB"/>
              </w:rPr>
            </w:pPr>
            <w:r w:rsidRPr="00CB694F">
              <w:rPr>
                <w:rFonts w:ascii="Arial" w:hAnsi="Arial" w:cs="Arial"/>
                <w:sz w:val="20"/>
                <w:szCs w:val="20"/>
                <w:lang w:val="en-GB"/>
              </w:rPr>
              <w:t>Reducing uncertainties requires increasing</w:t>
            </w:r>
            <w:r>
              <w:rPr>
                <w:rFonts w:ascii="Arial" w:hAnsi="Arial" w:cs="Arial"/>
                <w:sz w:val="20"/>
                <w:szCs w:val="20"/>
                <w:lang w:val="en-GB"/>
              </w:rPr>
              <w:t xml:space="preserve"> </w:t>
            </w:r>
            <w:r w:rsidRPr="00CB694F">
              <w:rPr>
                <w:rFonts w:ascii="Arial" w:hAnsi="Arial" w:cs="Arial"/>
                <w:sz w:val="20"/>
                <w:szCs w:val="20"/>
                <w:lang w:val="en-GB"/>
              </w:rPr>
              <w:t xml:space="preserve">the number and frequency </w:t>
            </w:r>
            <w:r>
              <w:rPr>
                <w:rFonts w:ascii="Arial" w:hAnsi="Arial" w:cs="Arial"/>
                <w:sz w:val="20"/>
                <w:szCs w:val="20"/>
                <w:lang w:val="en-GB"/>
              </w:rPr>
              <w:t>of samplings and improving of specific remote sensors.</w:t>
            </w:r>
          </w:p>
        </w:tc>
      </w:tr>
      <w:tr w:rsidR="001112A9" w:rsidRPr="002C7084" w:rsidTr="002C7084">
        <w:tc>
          <w:tcPr>
            <w:tcW w:w="2802" w:type="dxa"/>
          </w:tcPr>
          <w:p w:rsidR="001112A9" w:rsidRPr="001112A9" w:rsidRDefault="002C7084" w:rsidP="002C7084">
            <w:pPr>
              <w:jc w:val="left"/>
              <w:rPr>
                <w:rFonts w:ascii="Arial" w:hAnsi="Arial" w:cs="Arial"/>
                <w:i/>
                <w:sz w:val="20"/>
                <w:szCs w:val="20"/>
                <w:lang w:val="en-GB"/>
              </w:rPr>
            </w:pPr>
            <w:r w:rsidRPr="002C7084">
              <w:rPr>
                <w:rFonts w:ascii="Arial" w:hAnsi="Arial" w:cs="Arial"/>
                <w:i/>
                <w:sz w:val="20"/>
                <w:szCs w:val="20"/>
                <w:lang w:val="en-GB"/>
              </w:rPr>
              <w:t>Requirements for spatial and temporal scale, accuracy/uncertainty and stability</w:t>
            </w:r>
          </w:p>
        </w:tc>
        <w:tc>
          <w:tcPr>
            <w:tcW w:w="7052" w:type="dxa"/>
            <w:shd w:val="clear" w:color="auto" w:fill="FFFF00"/>
          </w:tcPr>
          <w:p w:rsidR="001112A9" w:rsidRDefault="009629CC" w:rsidP="001112A9">
            <w:pPr>
              <w:rPr>
                <w:rFonts w:ascii="Arial" w:hAnsi="Arial" w:cs="Arial"/>
                <w:sz w:val="20"/>
                <w:szCs w:val="20"/>
                <w:lang w:val="en-GB"/>
              </w:rPr>
            </w:pPr>
            <w:r>
              <w:rPr>
                <w:rFonts w:ascii="Arial" w:hAnsi="Arial" w:cs="Arial"/>
                <w:sz w:val="20"/>
                <w:szCs w:val="20"/>
                <w:lang w:val="en-GB"/>
              </w:rPr>
              <w:t>D</w:t>
            </w:r>
            <w:r w:rsidR="00357FA0">
              <w:rPr>
                <w:rFonts w:ascii="Arial" w:hAnsi="Arial" w:cs="Arial"/>
                <w:sz w:val="20"/>
                <w:szCs w:val="20"/>
                <w:lang w:val="en-GB"/>
              </w:rPr>
              <w:t xml:space="preserve">espite the methodology adopted for sampling or measuring the </w:t>
            </w:r>
            <w:r>
              <w:rPr>
                <w:rFonts w:ascii="Arial" w:hAnsi="Arial" w:cs="Arial"/>
                <w:sz w:val="20"/>
                <w:szCs w:val="20"/>
                <w:lang w:val="en-GB"/>
              </w:rPr>
              <w:t>SOC</w:t>
            </w:r>
            <w:r w:rsidR="00357FA0">
              <w:rPr>
                <w:rFonts w:ascii="Arial" w:hAnsi="Arial" w:cs="Arial"/>
                <w:sz w:val="20"/>
                <w:szCs w:val="20"/>
                <w:lang w:val="en-GB"/>
              </w:rPr>
              <w:t xml:space="preserve">, an important point is the time necessary to appreciate a consistent variation in SOC so to be detected. In fact, it has been well demonstrated that if there is </w:t>
            </w:r>
            <w:r>
              <w:rPr>
                <w:rFonts w:ascii="Arial" w:hAnsi="Arial" w:cs="Arial"/>
                <w:sz w:val="20"/>
                <w:szCs w:val="20"/>
                <w:lang w:val="en-GB"/>
              </w:rPr>
              <w:t xml:space="preserve">no any change in the land use, a time between five to ten </w:t>
            </w:r>
            <w:r w:rsidR="00357FA0">
              <w:rPr>
                <w:rFonts w:ascii="Arial" w:hAnsi="Arial" w:cs="Arial"/>
                <w:sz w:val="20"/>
                <w:szCs w:val="20"/>
                <w:lang w:val="en-GB"/>
              </w:rPr>
              <w:t>years</w:t>
            </w:r>
            <w:r w:rsidR="00190598">
              <w:rPr>
                <w:rFonts w:ascii="Arial" w:hAnsi="Arial" w:cs="Arial"/>
                <w:sz w:val="20"/>
                <w:szCs w:val="20"/>
                <w:lang w:val="en-GB"/>
              </w:rPr>
              <w:t xml:space="preserve"> represent the minimum interval</w:t>
            </w:r>
            <w:r w:rsidR="00357FA0">
              <w:rPr>
                <w:rFonts w:ascii="Arial" w:hAnsi="Arial" w:cs="Arial"/>
                <w:sz w:val="20"/>
                <w:szCs w:val="20"/>
                <w:lang w:val="en-GB"/>
              </w:rPr>
              <w:t xml:space="preserve"> for repeating the sampling (</w:t>
            </w:r>
            <w:r w:rsidR="00357FA0" w:rsidRPr="00357FA0">
              <w:rPr>
                <w:rFonts w:ascii="Arial" w:hAnsi="Arial" w:cs="Arial"/>
                <w:i/>
                <w:sz w:val="20"/>
                <w:szCs w:val="20"/>
                <w:lang w:val="en-GB"/>
              </w:rPr>
              <w:t>Chiti et al. 2010; Smith 200</w:t>
            </w:r>
            <w:r w:rsidR="00297093">
              <w:rPr>
                <w:rFonts w:ascii="Arial" w:hAnsi="Arial" w:cs="Arial"/>
                <w:i/>
                <w:sz w:val="20"/>
                <w:szCs w:val="20"/>
                <w:lang w:val="en-GB"/>
              </w:rPr>
              <w:t>4</w:t>
            </w:r>
            <w:r w:rsidR="00357FA0">
              <w:rPr>
                <w:rFonts w:ascii="Arial" w:hAnsi="Arial" w:cs="Arial"/>
                <w:sz w:val="20"/>
                <w:szCs w:val="20"/>
                <w:lang w:val="en-GB"/>
              </w:rPr>
              <w:t>).</w:t>
            </w:r>
          </w:p>
          <w:p w:rsidR="00297093" w:rsidRDefault="00297093" w:rsidP="00297093">
            <w:pPr>
              <w:rPr>
                <w:rFonts w:ascii="Arial" w:hAnsi="Arial" w:cs="Arial"/>
                <w:sz w:val="20"/>
                <w:szCs w:val="20"/>
                <w:lang w:val="en-GB"/>
              </w:rPr>
            </w:pPr>
            <w:r w:rsidRPr="00297093">
              <w:rPr>
                <w:rFonts w:ascii="Arial" w:hAnsi="Arial" w:cs="Arial"/>
                <w:sz w:val="20"/>
                <w:szCs w:val="20"/>
                <w:u w:val="single"/>
                <w:lang w:val="en-GB"/>
              </w:rPr>
              <w:t>References</w:t>
            </w:r>
            <w:r>
              <w:rPr>
                <w:rFonts w:ascii="Arial" w:hAnsi="Arial" w:cs="Arial"/>
                <w:sz w:val="20"/>
                <w:szCs w:val="20"/>
                <w:lang w:val="en-GB"/>
              </w:rPr>
              <w:t>:</w:t>
            </w:r>
          </w:p>
          <w:p w:rsidR="005A43DA" w:rsidRDefault="00297093" w:rsidP="00297093">
            <w:pPr>
              <w:rPr>
                <w:rFonts w:ascii="Arial" w:hAnsi="Arial" w:cs="Arial"/>
                <w:sz w:val="20"/>
                <w:szCs w:val="20"/>
                <w:lang w:val="en-GB"/>
              </w:rPr>
            </w:pPr>
            <w:r>
              <w:rPr>
                <w:rFonts w:ascii="Arial" w:hAnsi="Arial" w:cs="Arial"/>
                <w:sz w:val="20"/>
                <w:szCs w:val="20"/>
                <w:lang w:val="en-GB"/>
              </w:rPr>
              <w:t>Smith, P. 2004</w:t>
            </w:r>
            <w:r w:rsidRPr="00297093">
              <w:rPr>
                <w:rFonts w:ascii="Arial" w:hAnsi="Arial" w:cs="Arial"/>
                <w:sz w:val="20"/>
                <w:szCs w:val="20"/>
                <w:lang w:val="en-GB"/>
              </w:rPr>
              <w:t>. How long before a change in soil organic carbon</w:t>
            </w:r>
            <w:r>
              <w:rPr>
                <w:rFonts w:ascii="Arial" w:hAnsi="Arial" w:cs="Arial"/>
                <w:sz w:val="20"/>
                <w:szCs w:val="20"/>
                <w:lang w:val="en-GB"/>
              </w:rPr>
              <w:t xml:space="preserve"> </w:t>
            </w:r>
            <w:r w:rsidRPr="00297093">
              <w:rPr>
                <w:rFonts w:ascii="Arial" w:hAnsi="Arial" w:cs="Arial"/>
                <w:sz w:val="20"/>
                <w:szCs w:val="20"/>
                <w:lang w:val="en-GB"/>
              </w:rPr>
              <w:t>can be detected? Global Change Biology, 10, 1878–1883.</w:t>
            </w:r>
          </w:p>
          <w:p w:rsidR="00297093" w:rsidRPr="001112A9" w:rsidRDefault="00297093" w:rsidP="00297093">
            <w:pPr>
              <w:rPr>
                <w:rFonts w:ascii="Arial" w:hAnsi="Arial" w:cs="Arial"/>
                <w:sz w:val="20"/>
                <w:szCs w:val="20"/>
                <w:lang w:val="en-GB"/>
              </w:rPr>
            </w:pPr>
            <w:r>
              <w:rPr>
                <w:rFonts w:ascii="Arial" w:hAnsi="Arial" w:cs="Arial"/>
                <w:sz w:val="20"/>
                <w:szCs w:val="20"/>
                <w:lang w:val="en-GB"/>
              </w:rPr>
              <w:t>Chiti T, Papale D</w:t>
            </w:r>
            <w:r w:rsidRPr="00297093">
              <w:rPr>
                <w:rFonts w:ascii="Arial" w:hAnsi="Arial" w:cs="Arial"/>
                <w:sz w:val="20"/>
                <w:szCs w:val="20"/>
                <w:lang w:val="en-GB"/>
              </w:rPr>
              <w:t>, P. Smith</w:t>
            </w:r>
            <w:r>
              <w:rPr>
                <w:rFonts w:ascii="Arial" w:hAnsi="Arial" w:cs="Arial"/>
                <w:sz w:val="20"/>
                <w:szCs w:val="20"/>
                <w:lang w:val="en-GB"/>
              </w:rPr>
              <w:t xml:space="preserve"> P</w:t>
            </w:r>
            <w:r w:rsidRPr="00297093">
              <w:rPr>
                <w:rFonts w:ascii="Arial" w:hAnsi="Arial" w:cs="Arial"/>
                <w:sz w:val="20"/>
                <w:szCs w:val="20"/>
                <w:lang w:val="en-GB"/>
              </w:rPr>
              <w:t xml:space="preserve">, </w:t>
            </w:r>
            <w:proofErr w:type="spellStart"/>
            <w:r>
              <w:rPr>
                <w:rFonts w:ascii="Arial" w:hAnsi="Arial" w:cs="Arial"/>
                <w:sz w:val="20"/>
                <w:szCs w:val="20"/>
                <w:lang w:val="en-GB"/>
              </w:rPr>
              <w:t>Dalmonech</w:t>
            </w:r>
            <w:proofErr w:type="spellEnd"/>
            <w:r>
              <w:rPr>
                <w:rFonts w:ascii="Arial" w:hAnsi="Arial" w:cs="Arial"/>
                <w:sz w:val="20"/>
                <w:szCs w:val="20"/>
                <w:lang w:val="en-GB"/>
              </w:rPr>
              <w:t xml:space="preserve"> D, </w:t>
            </w:r>
            <w:proofErr w:type="spellStart"/>
            <w:r>
              <w:rPr>
                <w:rFonts w:ascii="Arial" w:hAnsi="Arial" w:cs="Arial"/>
                <w:sz w:val="20"/>
                <w:szCs w:val="20"/>
                <w:lang w:val="en-GB"/>
              </w:rPr>
              <w:t>Matteucci</w:t>
            </w:r>
            <w:proofErr w:type="spellEnd"/>
            <w:r>
              <w:rPr>
                <w:rFonts w:ascii="Arial" w:hAnsi="Arial" w:cs="Arial"/>
                <w:sz w:val="20"/>
                <w:szCs w:val="20"/>
                <w:lang w:val="en-GB"/>
              </w:rPr>
              <w:t xml:space="preserve"> G, </w:t>
            </w:r>
            <w:proofErr w:type="spellStart"/>
            <w:r>
              <w:rPr>
                <w:rFonts w:ascii="Arial" w:hAnsi="Arial" w:cs="Arial"/>
                <w:sz w:val="20"/>
                <w:szCs w:val="20"/>
                <w:lang w:val="en-GB"/>
              </w:rPr>
              <w:t>Yeluripati</w:t>
            </w:r>
            <w:proofErr w:type="spellEnd"/>
            <w:r>
              <w:rPr>
                <w:rFonts w:ascii="Arial" w:hAnsi="Arial" w:cs="Arial"/>
                <w:sz w:val="20"/>
                <w:szCs w:val="20"/>
                <w:lang w:val="en-GB"/>
              </w:rPr>
              <w:t xml:space="preserve"> J,</w:t>
            </w:r>
            <w:r w:rsidRPr="00297093">
              <w:rPr>
                <w:rFonts w:ascii="Arial" w:hAnsi="Arial" w:cs="Arial"/>
                <w:sz w:val="20"/>
                <w:szCs w:val="20"/>
                <w:lang w:val="en-GB"/>
              </w:rPr>
              <w:t xml:space="preserve"> </w:t>
            </w:r>
            <w:proofErr w:type="spellStart"/>
            <w:r>
              <w:rPr>
                <w:rFonts w:ascii="Arial" w:hAnsi="Arial" w:cs="Arial"/>
                <w:sz w:val="20"/>
                <w:szCs w:val="20"/>
                <w:lang w:val="en-GB"/>
              </w:rPr>
              <w:t>Rodeghiero</w:t>
            </w:r>
            <w:proofErr w:type="spellEnd"/>
            <w:r>
              <w:rPr>
                <w:rFonts w:ascii="Arial" w:hAnsi="Arial" w:cs="Arial"/>
                <w:sz w:val="20"/>
                <w:szCs w:val="20"/>
                <w:lang w:val="en-GB"/>
              </w:rPr>
              <w:t xml:space="preserve"> M, </w:t>
            </w:r>
            <w:r w:rsidRPr="00297093">
              <w:rPr>
                <w:rFonts w:ascii="Arial" w:hAnsi="Arial" w:cs="Arial"/>
                <w:sz w:val="20"/>
                <w:szCs w:val="20"/>
                <w:lang w:val="en-GB"/>
              </w:rPr>
              <w:t>Valentini</w:t>
            </w:r>
            <w:r>
              <w:rPr>
                <w:rFonts w:ascii="Arial" w:hAnsi="Arial" w:cs="Arial"/>
                <w:sz w:val="20"/>
                <w:szCs w:val="20"/>
                <w:lang w:val="en-GB"/>
              </w:rPr>
              <w:t xml:space="preserve"> R (2010) </w:t>
            </w:r>
            <w:r w:rsidRPr="00297093">
              <w:rPr>
                <w:rFonts w:ascii="Arial" w:hAnsi="Arial" w:cs="Arial"/>
                <w:sz w:val="20"/>
                <w:szCs w:val="20"/>
                <w:lang w:val="en-GB"/>
              </w:rPr>
              <w:t xml:space="preserve">Predicting changes in soil organic carbon in </w:t>
            </w:r>
            <w:r>
              <w:rPr>
                <w:rFonts w:ascii="Arial" w:hAnsi="Arial" w:cs="Arial"/>
                <w:sz w:val="20"/>
                <w:szCs w:val="20"/>
                <w:lang w:val="en-GB"/>
              </w:rPr>
              <w:t xml:space="preserve">Mediterranean </w:t>
            </w:r>
            <w:r w:rsidRPr="00297093">
              <w:rPr>
                <w:rFonts w:ascii="Arial" w:hAnsi="Arial" w:cs="Arial"/>
                <w:sz w:val="20"/>
                <w:szCs w:val="20"/>
                <w:lang w:val="en-GB"/>
              </w:rPr>
              <w:t>and alpine forests during the Kyoto Protocol commitment</w:t>
            </w:r>
            <w:r>
              <w:rPr>
                <w:rFonts w:ascii="Arial" w:hAnsi="Arial" w:cs="Arial"/>
                <w:sz w:val="20"/>
                <w:szCs w:val="20"/>
                <w:lang w:val="en-GB"/>
              </w:rPr>
              <w:t xml:space="preserve"> </w:t>
            </w:r>
            <w:r w:rsidRPr="00297093">
              <w:rPr>
                <w:rFonts w:ascii="Arial" w:hAnsi="Arial" w:cs="Arial"/>
                <w:sz w:val="20"/>
                <w:szCs w:val="20"/>
                <w:lang w:val="en-GB"/>
              </w:rPr>
              <w:t>periods using the CENTURY model</w:t>
            </w:r>
            <w:r>
              <w:rPr>
                <w:rFonts w:ascii="Arial" w:hAnsi="Arial" w:cs="Arial"/>
                <w:sz w:val="20"/>
                <w:szCs w:val="20"/>
                <w:lang w:val="en-GB"/>
              </w:rPr>
              <w:t xml:space="preserve">. </w:t>
            </w:r>
            <w:r w:rsidRPr="00297093">
              <w:rPr>
                <w:rFonts w:ascii="Arial" w:hAnsi="Arial" w:cs="Arial"/>
                <w:sz w:val="20"/>
                <w:szCs w:val="20"/>
                <w:lang w:val="en-GB"/>
              </w:rPr>
              <w:t>Soil Use and Management, December 2010, 26, 475–484</w:t>
            </w:r>
          </w:p>
        </w:tc>
      </w:tr>
      <w:tr w:rsidR="002C7084" w:rsidRPr="00E34418" w:rsidTr="002C7084">
        <w:tc>
          <w:tcPr>
            <w:tcW w:w="2802" w:type="dxa"/>
          </w:tcPr>
          <w:p w:rsidR="002C7084" w:rsidRPr="001112A9" w:rsidRDefault="002C7084" w:rsidP="002C7084">
            <w:pPr>
              <w:jc w:val="left"/>
              <w:rPr>
                <w:rFonts w:ascii="Arial" w:hAnsi="Arial" w:cs="Arial"/>
                <w:i/>
                <w:sz w:val="20"/>
                <w:szCs w:val="20"/>
                <w:lang w:val="en-GB"/>
              </w:rPr>
            </w:pPr>
            <w:r w:rsidRPr="001112A9">
              <w:rPr>
                <w:rFonts w:ascii="Arial" w:hAnsi="Arial" w:cs="Arial"/>
                <w:i/>
                <w:sz w:val="20"/>
                <w:szCs w:val="20"/>
                <w:lang w:val="en-GB"/>
              </w:rPr>
              <w:t>Operational monitoring networks</w:t>
            </w:r>
            <w:r>
              <w:rPr>
                <w:rFonts w:ascii="Arial" w:hAnsi="Arial" w:cs="Arial"/>
                <w:i/>
                <w:sz w:val="20"/>
                <w:szCs w:val="20"/>
                <w:lang w:val="en-GB"/>
              </w:rPr>
              <w:t xml:space="preserve"> (in situ + remote)</w:t>
            </w:r>
          </w:p>
        </w:tc>
        <w:tc>
          <w:tcPr>
            <w:tcW w:w="7052" w:type="dxa"/>
            <w:shd w:val="clear" w:color="auto" w:fill="FFFF00"/>
          </w:tcPr>
          <w:p w:rsidR="009629CC" w:rsidRDefault="00357FA0" w:rsidP="008E45C4">
            <w:pPr>
              <w:pStyle w:val="Paragrafoelenco"/>
              <w:numPr>
                <w:ilvl w:val="0"/>
                <w:numId w:val="2"/>
              </w:numPr>
              <w:ind w:left="317" w:hanging="284"/>
              <w:rPr>
                <w:rFonts w:ascii="Arial" w:hAnsi="Arial" w:cs="Arial"/>
                <w:sz w:val="20"/>
                <w:szCs w:val="20"/>
                <w:lang w:val="en-GB"/>
              </w:rPr>
            </w:pPr>
            <w:r w:rsidRPr="008E45C4">
              <w:rPr>
                <w:rFonts w:ascii="Arial" w:hAnsi="Arial" w:cs="Arial"/>
                <w:sz w:val="20"/>
                <w:szCs w:val="20"/>
                <w:lang w:val="en-GB"/>
              </w:rPr>
              <w:t xml:space="preserve">National soil carbon network </w:t>
            </w:r>
          </w:p>
          <w:p w:rsidR="002C7084" w:rsidRPr="008E45C4" w:rsidRDefault="009629CC" w:rsidP="009629CC">
            <w:pPr>
              <w:pStyle w:val="Paragrafoelenco"/>
              <w:ind w:left="317"/>
              <w:rPr>
                <w:rFonts w:ascii="Arial" w:hAnsi="Arial" w:cs="Arial"/>
                <w:sz w:val="20"/>
                <w:szCs w:val="20"/>
                <w:lang w:val="en-GB"/>
              </w:rPr>
            </w:pPr>
            <w:r w:rsidRPr="009629CC">
              <w:rPr>
                <w:rFonts w:ascii="Arial" w:hAnsi="Arial" w:cs="Arial"/>
                <w:sz w:val="20"/>
                <w:szCs w:val="20"/>
                <w:lang w:val="en-GB"/>
              </w:rPr>
              <w:t>http://iscn.fluxdata.org/Pages/default.aspx</w:t>
            </w:r>
          </w:p>
        </w:tc>
      </w:tr>
      <w:tr w:rsidR="002C7084" w:rsidRPr="00E34418" w:rsidTr="002C7084">
        <w:tc>
          <w:tcPr>
            <w:tcW w:w="2802" w:type="dxa"/>
          </w:tcPr>
          <w:p w:rsidR="002C7084" w:rsidRPr="001112A9" w:rsidRDefault="002C7084" w:rsidP="002C7084">
            <w:pPr>
              <w:jc w:val="left"/>
              <w:rPr>
                <w:rFonts w:ascii="Arial" w:hAnsi="Arial" w:cs="Arial"/>
                <w:i/>
                <w:sz w:val="20"/>
                <w:szCs w:val="20"/>
                <w:lang w:val="en-GB"/>
              </w:rPr>
            </w:pPr>
            <w:r>
              <w:rPr>
                <w:rFonts w:ascii="Arial" w:hAnsi="Arial" w:cs="Arial"/>
                <w:i/>
                <w:sz w:val="20"/>
                <w:szCs w:val="20"/>
                <w:lang w:val="en-GB"/>
              </w:rPr>
              <w:t>Available datasets</w:t>
            </w:r>
          </w:p>
        </w:tc>
        <w:tc>
          <w:tcPr>
            <w:tcW w:w="7052" w:type="dxa"/>
            <w:shd w:val="clear" w:color="auto" w:fill="FFFF00"/>
          </w:tcPr>
          <w:p w:rsidR="00747ECC" w:rsidRPr="00257550" w:rsidRDefault="00257550" w:rsidP="00257550">
            <w:pPr>
              <w:rPr>
                <w:rFonts w:ascii="Arial" w:hAnsi="Arial" w:cs="Arial"/>
                <w:sz w:val="20"/>
                <w:szCs w:val="20"/>
                <w:lang w:val="en-GB"/>
              </w:rPr>
            </w:pPr>
            <w:r w:rsidRPr="00257550">
              <w:rPr>
                <w:rFonts w:ascii="Arial" w:hAnsi="Arial" w:cs="Arial"/>
                <w:sz w:val="20"/>
                <w:szCs w:val="20"/>
                <w:lang w:val="en-GB"/>
              </w:rPr>
              <w:t>At global scale, various efforts have been</w:t>
            </w:r>
            <w:r>
              <w:rPr>
                <w:rFonts w:ascii="Arial" w:hAnsi="Arial" w:cs="Arial"/>
                <w:sz w:val="20"/>
                <w:szCs w:val="20"/>
                <w:lang w:val="en-GB"/>
              </w:rPr>
              <w:t xml:space="preserve"> </w:t>
            </w:r>
            <w:r w:rsidRPr="00257550">
              <w:rPr>
                <w:rFonts w:ascii="Arial" w:hAnsi="Arial" w:cs="Arial"/>
                <w:sz w:val="20"/>
                <w:szCs w:val="20"/>
                <w:lang w:val="en-GB"/>
              </w:rPr>
              <w:t>developed to harmonize the different soil classifications</w:t>
            </w:r>
            <w:r>
              <w:rPr>
                <w:rFonts w:ascii="Arial" w:hAnsi="Arial" w:cs="Arial"/>
                <w:sz w:val="20"/>
                <w:szCs w:val="20"/>
                <w:lang w:val="en-GB"/>
              </w:rPr>
              <w:t xml:space="preserve"> </w:t>
            </w:r>
            <w:r w:rsidRPr="00257550">
              <w:rPr>
                <w:rFonts w:ascii="Arial" w:hAnsi="Arial" w:cs="Arial"/>
                <w:sz w:val="20"/>
                <w:szCs w:val="20"/>
                <w:lang w:val="en-GB"/>
              </w:rPr>
              <w:t>and to</w:t>
            </w:r>
            <w:r>
              <w:rPr>
                <w:rFonts w:ascii="Arial" w:hAnsi="Arial" w:cs="Arial"/>
                <w:sz w:val="20"/>
                <w:szCs w:val="20"/>
                <w:lang w:val="en-GB"/>
              </w:rPr>
              <w:t xml:space="preserve"> </w:t>
            </w:r>
            <w:r w:rsidRPr="00257550">
              <w:rPr>
                <w:rFonts w:ascii="Arial" w:hAnsi="Arial" w:cs="Arial"/>
                <w:sz w:val="20"/>
                <w:szCs w:val="20"/>
                <w:lang w:val="en-GB"/>
              </w:rPr>
              <w:t xml:space="preserve">establish a world soil map (FAO-IIASA). </w:t>
            </w:r>
            <w:r>
              <w:rPr>
                <w:rFonts w:ascii="Arial" w:hAnsi="Arial" w:cs="Arial"/>
                <w:sz w:val="20"/>
                <w:szCs w:val="20"/>
                <w:lang w:val="en-GB"/>
              </w:rPr>
              <w:t xml:space="preserve">While the resolution is continuously improving, in many cases </w:t>
            </w:r>
            <w:r w:rsidRPr="00257550">
              <w:rPr>
                <w:rFonts w:ascii="Arial" w:hAnsi="Arial" w:cs="Arial"/>
                <w:sz w:val="20"/>
                <w:szCs w:val="20"/>
                <w:lang w:val="en-GB"/>
              </w:rPr>
              <w:t>is still</w:t>
            </w:r>
            <w:r>
              <w:rPr>
                <w:rFonts w:ascii="Arial" w:hAnsi="Arial" w:cs="Arial"/>
                <w:sz w:val="20"/>
                <w:szCs w:val="20"/>
                <w:lang w:val="en-GB"/>
              </w:rPr>
              <w:t xml:space="preserve"> </w:t>
            </w:r>
            <w:r w:rsidRPr="00257550">
              <w:rPr>
                <w:rFonts w:ascii="Arial" w:hAnsi="Arial" w:cs="Arial"/>
                <w:sz w:val="20"/>
                <w:szCs w:val="20"/>
                <w:lang w:val="en-GB"/>
              </w:rPr>
              <w:t>very coarse and the number of soil profiles limited</w:t>
            </w:r>
            <w:r>
              <w:rPr>
                <w:rFonts w:ascii="Arial" w:hAnsi="Arial" w:cs="Arial"/>
                <w:sz w:val="20"/>
                <w:szCs w:val="20"/>
                <w:lang w:val="en-GB"/>
              </w:rPr>
              <w:t>, undermining the use of these datasets, particularly for non-scientific purposes</w:t>
            </w:r>
            <w:r w:rsidRPr="00257550">
              <w:rPr>
                <w:rFonts w:ascii="Arial" w:hAnsi="Arial" w:cs="Arial"/>
                <w:sz w:val="20"/>
                <w:szCs w:val="20"/>
                <w:lang w:val="en-GB"/>
              </w:rPr>
              <w:t>.</w:t>
            </w:r>
          </w:p>
          <w:p w:rsidR="00357FA0" w:rsidRPr="008E45C4" w:rsidRDefault="00357FA0" w:rsidP="008E45C4">
            <w:pPr>
              <w:pStyle w:val="Paragrafoelenco"/>
              <w:numPr>
                <w:ilvl w:val="0"/>
                <w:numId w:val="1"/>
              </w:numPr>
              <w:ind w:left="317" w:hanging="284"/>
              <w:rPr>
                <w:rFonts w:ascii="Arial" w:hAnsi="Arial" w:cs="Arial"/>
                <w:sz w:val="20"/>
                <w:szCs w:val="20"/>
                <w:lang w:val="en-GB"/>
              </w:rPr>
            </w:pPr>
            <w:proofErr w:type="spellStart"/>
            <w:r w:rsidRPr="008E45C4">
              <w:rPr>
                <w:rFonts w:ascii="Arial" w:hAnsi="Arial" w:cs="Arial"/>
                <w:sz w:val="20"/>
                <w:szCs w:val="20"/>
                <w:lang w:val="en-GB"/>
              </w:rPr>
              <w:t>Batjes</w:t>
            </w:r>
            <w:proofErr w:type="spellEnd"/>
            <w:r w:rsidRPr="008E45C4">
              <w:rPr>
                <w:rFonts w:ascii="Arial" w:hAnsi="Arial" w:cs="Arial"/>
                <w:sz w:val="20"/>
                <w:szCs w:val="20"/>
                <w:lang w:val="en-GB"/>
              </w:rPr>
              <w:t xml:space="preserve">, N.H. 2008. ISRIC-WISE harmonized global soil profile dataset (Ver. 3.1). Report 2008/2, ISRIC - World Soil Information, </w:t>
            </w:r>
            <w:proofErr w:type="spellStart"/>
            <w:r w:rsidRPr="008E45C4">
              <w:rPr>
                <w:rFonts w:ascii="Arial" w:hAnsi="Arial" w:cs="Arial"/>
                <w:sz w:val="20"/>
                <w:szCs w:val="20"/>
                <w:lang w:val="en-GB"/>
              </w:rPr>
              <w:t>Wageningen</w:t>
            </w:r>
            <w:proofErr w:type="spellEnd"/>
            <w:r w:rsidRPr="008E45C4">
              <w:rPr>
                <w:rFonts w:ascii="Arial" w:hAnsi="Arial" w:cs="Arial"/>
                <w:sz w:val="20"/>
                <w:szCs w:val="20"/>
                <w:lang w:val="en-GB"/>
              </w:rPr>
              <w:t xml:space="preserve">. (Also available at: </w:t>
            </w:r>
            <w:hyperlink r:id="rId6" w:history="1">
              <w:r w:rsidRPr="008E45C4">
                <w:rPr>
                  <w:rStyle w:val="Collegamentoipertestuale"/>
                  <w:rFonts w:ascii="Arial" w:hAnsi="Arial" w:cs="Arial"/>
                  <w:sz w:val="20"/>
                  <w:szCs w:val="20"/>
                  <w:lang w:val="en-GB"/>
                </w:rPr>
                <w:t>http://www.isric.org/isric/webdocs/docs//ISRIC_Report_2008_02.pdf?q=isric/Webdocs/Docs/ISRIC_Report_2008_02.pdf</w:t>
              </w:r>
            </w:hyperlink>
            <w:r w:rsidRPr="008E45C4">
              <w:rPr>
                <w:rFonts w:ascii="Arial" w:hAnsi="Arial" w:cs="Arial"/>
                <w:sz w:val="20"/>
                <w:szCs w:val="20"/>
                <w:lang w:val="en-GB"/>
              </w:rPr>
              <w:t>).</w:t>
            </w:r>
          </w:p>
          <w:p w:rsidR="00357FA0" w:rsidRPr="008E45C4" w:rsidRDefault="00357FA0" w:rsidP="008E45C4">
            <w:pPr>
              <w:pStyle w:val="Paragrafoelenco"/>
              <w:numPr>
                <w:ilvl w:val="0"/>
                <w:numId w:val="1"/>
              </w:numPr>
              <w:ind w:left="317" w:hanging="284"/>
              <w:rPr>
                <w:rFonts w:ascii="Arial" w:hAnsi="Arial" w:cs="Arial"/>
                <w:sz w:val="20"/>
                <w:szCs w:val="20"/>
                <w:lang w:val="en-GB"/>
              </w:rPr>
            </w:pPr>
            <w:proofErr w:type="spellStart"/>
            <w:r w:rsidRPr="008E45C4">
              <w:rPr>
                <w:rFonts w:ascii="Arial" w:hAnsi="Arial" w:cs="Arial"/>
                <w:sz w:val="20"/>
                <w:szCs w:val="20"/>
                <w:lang w:val="en-GB"/>
              </w:rPr>
              <w:t>Hiederer</w:t>
            </w:r>
            <w:proofErr w:type="spellEnd"/>
            <w:r w:rsidRPr="008E45C4">
              <w:rPr>
                <w:rFonts w:ascii="Arial" w:hAnsi="Arial" w:cs="Arial"/>
                <w:sz w:val="20"/>
                <w:szCs w:val="20"/>
                <w:lang w:val="en-GB"/>
              </w:rPr>
              <w:t xml:space="preserve">, R., Jones, R.J.A. &amp; </w:t>
            </w:r>
            <w:proofErr w:type="spellStart"/>
            <w:r w:rsidRPr="008E45C4">
              <w:rPr>
                <w:rFonts w:ascii="Arial" w:hAnsi="Arial" w:cs="Arial"/>
                <w:sz w:val="20"/>
                <w:szCs w:val="20"/>
                <w:lang w:val="en-GB"/>
              </w:rPr>
              <w:t>Daroussin</w:t>
            </w:r>
            <w:proofErr w:type="spellEnd"/>
            <w:r w:rsidRPr="008E45C4">
              <w:rPr>
                <w:rFonts w:ascii="Arial" w:hAnsi="Arial" w:cs="Arial"/>
                <w:sz w:val="20"/>
                <w:szCs w:val="20"/>
                <w:lang w:val="en-GB"/>
              </w:rPr>
              <w:t xml:space="preserve">, J. 2006. Soil Profile Analytical Database for Europe (SPADE): Reconstruction and Validation of the Measured Data (SPADE/M). </w:t>
            </w:r>
            <w:proofErr w:type="spellStart"/>
            <w:r w:rsidRPr="008E45C4">
              <w:rPr>
                <w:rFonts w:ascii="Arial" w:hAnsi="Arial" w:cs="Arial"/>
                <w:sz w:val="20"/>
                <w:szCs w:val="20"/>
                <w:lang w:val="en-GB"/>
              </w:rPr>
              <w:t>Geografisk</w:t>
            </w:r>
            <w:proofErr w:type="spellEnd"/>
            <w:r w:rsidRPr="008E45C4">
              <w:rPr>
                <w:rFonts w:ascii="Arial" w:hAnsi="Arial" w:cs="Arial"/>
                <w:sz w:val="20"/>
                <w:szCs w:val="20"/>
                <w:lang w:val="en-GB"/>
              </w:rPr>
              <w:t xml:space="preserve"> </w:t>
            </w:r>
            <w:proofErr w:type="spellStart"/>
            <w:r w:rsidRPr="008E45C4">
              <w:rPr>
                <w:rFonts w:ascii="Arial" w:hAnsi="Arial" w:cs="Arial"/>
                <w:sz w:val="20"/>
                <w:szCs w:val="20"/>
                <w:lang w:val="en-GB"/>
              </w:rPr>
              <w:t>Tidsskrift</w:t>
            </w:r>
            <w:proofErr w:type="spellEnd"/>
            <w:r w:rsidRPr="008E45C4">
              <w:rPr>
                <w:rFonts w:ascii="Arial" w:hAnsi="Arial" w:cs="Arial"/>
                <w:sz w:val="20"/>
                <w:szCs w:val="20"/>
                <w:lang w:val="en-GB"/>
              </w:rPr>
              <w:t xml:space="preserve">, Danish Journal of Geography 106(1): 71-85. (also available at </w:t>
            </w:r>
            <w:hyperlink r:id="rId7" w:history="1">
              <w:r w:rsidR="008E45C4" w:rsidRPr="008E45C4">
                <w:rPr>
                  <w:rStyle w:val="Collegamentoipertestuale"/>
                  <w:rFonts w:ascii="Arial" w:hAnsi="Arial" w:cs="Arial"/>
                  <w:sz w:val="20"/>
                  <w:szCs w:val="20"/>
                  <w:lang w:val="en-GB"/>
                </w:rPr>
                <w:t>http://rdgs.dk/djg/pdfs/106/1/06.pdf</w:t>
              </w:r>
            </w:hyperlink>
            <w:r w:rsidRPr="008E45C4">
              <w:rPr>
                <w:rFonts w:ascii="Arial" w:hAnsi="Arial" w:cs="Arial"/>
                <w:sz w:val="20"/>
                <w:szCs w:val="20"/>
                <w:lang w:val="en-GB"/>
              </w:rPr>
              <w:t>).</w:t>
            </w:r>
          </w:p>
          <w:p w:rsidR="008E45C4" w:rsidRPr="008E45C4" w:rsidRDefault="008E45C4" w:rsidP="008E45C4">
            <w:pPr>
              <w:pStyle w:val="Paragrafoelenco"/>
              <w:numPr>
                <w:ilvl w:val="0"/>
                <w:numId w:val="1"/>
              </w:numPr>
              <w:ind w:left="317" w:hanging="284"/>
              <w:rPr>
                <w:rFonts w:ascii="Arial" w:hAnsi="Arial" w:cs="Arial"/>
                <w:sz w:val="20"/>
                <w:szCs w:val="20"/>
                <w:lang w:val="en-GB"/>
              </w:rPr>
            </w:pPr>
            <w:proofErr w:type="spellStart"/>
            <w:r w:rsidRPr="008E45C4">
              <w:rPr>
                <w:rFonts w:ascii="Arial" w:hAnsi="Arial" w:cs="Arial"/>
                <w:sz w:val="20"/>
                <w:szCs w:val="20"/>
                <w:lang w:val="en-GB"/>
              </w:rPr>
              <w:t>Leenaars</w:t>
            </w:r>
            <w:proofErr w:type="spellEnd"/>
            <w:r w:rsidRPr="008E45C4">
              <w:rPr>
                <w:rFonts w:ascii="Arial" w:hAnsi="Arial" w:cs="Arial"/>
                <w:sz w:val="20"/>
                <w:szCs w:val="20"/>
                <w:lang w:val="en-GB"/>
              </w:rPr>
              <w:t>, J. G. B. 2013. Africa soil profiles database, Version 1.1. A compilation of georeferenced and standardized legacy soil profile data for Sub-Saharan Africa (with dataset). ISRIC Rep, 3.</w:t>
            </w:r>
          </w:p>
          <w:p w:rsidR="008E45C4" w:rsidRPr="008E45C4" w:rsidRDefault="008E45C4" w:rsidP="008E45C4">
            <w:pPr>
              <w:pStyle w:val="Paragrafoelenco"/>
              <w:numPr>
                <w:ilvl w:val="0"/>
                <w:numId w:val="1"/>
              </w:numPr>
              <w:ind w:left="317" w:hanging="284"/>
              <w:rPr>
                <w:rFonts w:ascii="Arial" w:hAnsi="Arial" w:cs="Arial"/>
                <w:sz w:val="20"/>
                <w:szCs w:val="20"/>
                <w:lang w:val="en-GB"/>
              </w:rPr>
            </w:pPr>
            <w:proofErr w:type="spellStart"/>
            <w:r w:rsidRPr="00257550">
              <w:rPr>
                <w:rFonts w:ascii="Arial" w:hAnsi="Arial" w:cs="Arial"/>
                <w:sz w:val="20"/>
                <w:szCs w:val="20"/>
                <w:lang w:val="fr-FR"/>
              </w:rPr>
              <w:t>Stolbovoy</w:t>
            </w:r>
            <w:proofErr w:type="spellEnd"/>
            <w:r w:rsidRPr="00257550">
              <w:rPr>
                <w:rFonts w:ascii="Arial" w:hAnsi="Arial" w:cs="Arial"/>
                <w:sz w:val="20"/>
                <w:szCs w:val="20"/>
                <w:lang w:val="fr-FR"/>
              </w:rPr>
              <w:t xml:space="preserve">, V., McCallum, I. et al. 2002. </w:t>
            </w:r>
            <w:r w:rsidRPr="008E45C4">
              <w:rPr>
                <w:rFonts w:ascii="Arial" w:hAnsi="Arial" w:cs="Arial"/>
                <w:sz w:val="20"/>
                <w:szCs w:val="20"/>
                <w:lang w:val="en-GB"/>
              </w:rPr>
              <w:t xml:space="preserve">Land Resources of Russia. (also available at: </w:t>
            </w:r>
            <w:hyperlink r:id="rId8" w:history="1">
              <w:r w:rsidRPr="008E45C4">
                <w:rPr>
                  <w:rStyle w:val="Collegamentoipertestuale"/>
                  <w:rFonts w:ascii="Arial" w:hAnsi="Arial" w:cs="Arial"/>
                  <w:sz w:val="20"/>
                  <w:szCs w:val="20"/>
                  <w:lang w:val="en-GB"/>
                </w:rPr>
                <w:t>http://www.iiasa.ac.at/collections/IIASA_Research/Research/FOR/russia_cd/download.htm</w:t>
              </w:r>
            </w:hyperlink>
            <w:r w:rsidRPr="008E45C4">
              <w:rPr>
                <w:rFonts w:ascii="Arial" w:hAnsi="Arial" w:cs="Arial"/>
                <w:sz w:val="20"/>
                <w:szCs w:val="20"/>
                <w:lang w:val="en-GB"/>
              </w:rPr>
              <w:t>).</w:t>
            </w:r>
          </w:p>
          <w:p w:rsidR="008E45C4" w:rsidRPr="008E45C4" w:rsidRDefault="008E45C4" w:rsidP="008E45C4">
            <w:pPr>
              <w:pStyle w:val="Paragrafoelenco"/>
              <w:numPr>
                <w:ilvl w:val="0"/>
                <w:numId w:val="1"/>
              </w:numPr>
              <w:ind w:left="317" w:hanging="284"/>
              <w:rPr>
                <w:rFonts w:ascii="Arial" w:hAnsi="Arial" w:cs="Arial"/>
                <w:sz w:val="20"/>
                <w:szCs w:val="20"/>
                <w:lang w:val="en-GB"/>
              </w:rPr>
            </w:pPr>
            <w:r w:rsidRPr="008E45C4">
              <w:rPr>
                <w:rFonts w:ascii="Arial" w:hAnsi="Arial" w:cs="Arial"/>
                <w:sz w:val="20"/>
                <w:szCs w:val="20"/>
                <w:lang w:val="en-GB"/>
              </w:rPr>
              <w:t>National Soil Carbon Network (2011) NSCN Database report: Profile Carbon to 1 m Depth. available on-line: http://www.fluxdata.org/nscn/DataBrowsing/SitePages/Carbonto1M.aspx&gt;.</w:t>
            </w:r>
          </w:p>
        </w:tc>
      </w:tr>
      <w:tr w:rsidR="002C7084" w:rsidRPr="001112A9" w:rsidTr="002C7084">
        <w:tc>
          <w:tcPr>
            <w:tcW w:w="2802" w:type="dxa"/>
          </w:tcPr>
          <w:p w:rsidR="002C7084" w:rsidRDefault="002C7084" w:rsidP="002C7084">
            <w:pPr>
              <w:jc w:val="left"/>
              <w:rPr>
                <w:rFonts w:ascii="Arial" w:hAnsi="Arial" w:cs="Arial"/>
                <w:i/>
                <w:sz w:val="20"/>
                <w:szCs w:val="20"/>
                <w:lang w:val="en-GB"/>
              </w:rPr>
            </w:pPr>
            <w:r>
              <w:rPr>
                <w:rFonts w:ascii="Arial" w:hAnsi="Arial" w:cs="Arial"/>
                <w:i/>
                <w:sz w:val="20"/>
                <w:szCs w:val="20"/>
                <w:lang w:val="en-GB"/>
              </w:rPr>
              <w:t>Main users’ categories</w:t>
            </w:r>
          </w:p>
        </w:tc>
        <w:tc>
          <w:tcPr>
            <w:tcW w:w="7052" w:type="dxa"/>
            <w:shd w:val="clear" w:color="auto" w:fill="FFFF00"/>
          </w:tcPr>
          <w:p w:rsidR="002C7084" w:rsidRPr="001112A9" w:rsidRDefault="002C7084" w:rsidP="001112A9">
            <w:pPr>
              <w:rPr>
                <w:rFonts w:ascii="Arial" w:hAnsi="Arial" w:cs="Arial"/>
                <w:sz w:val="20"/>
                <w:szCs w:val="20"/>
                <w:lang w:val="en-GB"/>
              </w:rPr>
            </w:pPr>
          </w:p>
        </w:tc>
      </w:tr>
      <w:tr w:rsidR="001112A9" w:rsidRPr="00E34418" w:rsidTr="002C7084">
        <w:tc>
          <w:tcPr>
            <w:tcW w:w="2802" w:type="dxa"/>
          </w:tcPr>
          <w:p w:rsidR="001112A9" w:rsidRPr="001112A9" w:rsidRDefault="001112A9" w:rsidP="002C7084">
            <w:pPr>
              <w:jc w:val="left"/>
              <w:rPr>
                <w:rFonts w:ascii="Arial" w:hAnsi="Arial" w:cs="Arial"/>
                <w:i/>
                <w:sz w:val="20"/>
                <w:szCs w:val="20"/>
                <w:lang w:val="en-GB"/>
              </w:rPr>
            </w:pPr>
            <w:r w:rsidRPr="001112A9">
              <w:rPr>
                <w:rFonts w:ascii="Arial" w:hAnsi="Arial" w:cs="Arial"/>
                <w:i/>
                <w:sz w:val="20"/>
                <w:szCs w:val="20"/>
                <w:lang w:val="en-GB"/>
              </w:rPr>
              <w:t>Main gaps and requirements</w:t>
            </w:r>
          </w:p>
        </w:tc>
        <w:tc>
          <w:tcPr>
            <w:tcW w:w="7052" w:type="dxa"/>
            <w:shd w:val="clear" w:color="auto" w:fill="FFFF00"/>
          </w:tcPr>
          <w:p w:rsidR="001112A9" w:rsidRDefault="00257550" w:rsidP="00257550">
            <w:pPr>
              <w:rPr>
                <w:rFonts w:ascii="Arial" w:hAnsi="Arial" w:cs="Arial"/>
                <w:sz w:val="20"/>
                <w:szCs w:val="20"/>
                <w:lang w:val="en-GB"/>
              </w:rPr>
            </w:pPr>
            <w:r w:rsidRPr="00257550">
              <w:rPr>
                <w:rFonts w:ascii="Arial" w:hAnsi="Arial" w:cs="Arial"/>
                <w:sz w:val="20"/>
                <w:szCs w:val="20"/>
                <w:lang w:val="en-GB"/>
              </w:rPr>
              <w:t>It is critical to harmonize the widely</w:t>
            </w:r>
            <w:r>
              <w:rPr>
                <w:rFonts w:ascii="Arial" w:hAnsi="Arial" w:cs="Arial"/>
                <w:sz w:val="20"/>
                <w:szCs w:val="20"/>
                <w:lang w:val="en-GB"/>
              </w:rPr>
              <w:t xml:space="preserve"> </w:t>
            </w:r>
            <w:r w:rsidRPr="00257550">
              <w:rPr>
                <w:rFonts w:ascii="Arial" w:hAnsi="Arial" w:cs="Arial"/>
                <w:sz w:val="20"/>
                <w:szCs w:val="20"/>
                <w:lang w:val="en-GB"/>
              </w:rPr>
              <w:t>varying methodologies for inventory and analysis,</w:t>
            </w:r>
            <w:r>
              <w:rPr>
                <w:rFonts w:ascii="Arial" w:hAnsi="Arial" w:cs="Arial"/>
                <w:sz w:val="20"/>
                <w:szCs w:val="20"/>
                <w:lang w:val="en-GB"/>
              </w:rPr>
              <w:t xml:space="preserve"> to promote the use of </w:t>
            </w:r>
            <w:r w:rsidR="00624B1E">
              <w:rPr>
                <w:rFonts w:ascii="Arial" w:hAnsi="Arial" w:cs="Arial"/>
                <w:sz w:val="20"/>
                <w:szCs w:val="20"/>
                <w:lang w:val="en-GB"/>
              </w:rPr>
              <w:t>standards</w:t>
            </w:r>
            <w:r>
              <w:rPr>
                <w:rFonts w:ascii="Arial" w:hAnsi="Arial" w:cs="Arial"/>
                <w:sz w:val="20"/>
                <w:szCs w:val="20"/>
                <w:lang w:val="en-GB"/>
              </w:rPr>
              <w:t xml:space="preserve"> and to ensure the continuity of </w:t>
            </w:r>
            <w:r w:rsidRPr="00257550">
              <w:rPr>
                <w:rFonts w:ascii="Arial" w:hAnsi="Arial" w:cs="Arial"/>
                <w:sz w:val="20"/>
                <w:szCs w:val="20"/>
                <w:lang w:val="en-GB"/>
              </w:rPr>
              <w:t>georeferenced</w:t>
            </w:r>
            <w:r>
              <w:rPr>
                <w:rFonts w:ascii="Arial" w:hAnsi="Arial" w:cs="Arial"/>
                <w:sz w:val="20"/>
                <w:szCs w:val="20"/>
                <w:lang w:val="en-GB"/>
              </w:rPr>
              <w:t xml:space="preserve"> and repeated measurements</w:t>
            </w:r>
            <w:r w:rsidRPr="00257550">
              <w:rPr>
                <w:rFonts w:ascii="Arial" w:hAnsi="Arial" w:cs="Arial"/>
                <w:sz w:val="20"/>
                <w:szCs w:val="20"/>
                <w:lang w:val="en-GB"/>
              </w:rPr>
              <w:t xml:space="preserve"> </w:t>
            </w:r>
            <w:r>
              <w:rPr>
                <w:rFonts w:ascii="Arial" w:hAnsi="Arial" w:cs="Arial"/>
                <w:sz w:val="20"/>
                <w:szCs w:val="20"/>
                <w:lang w:val="en-GB"/>
              </w:rPr>
              <w:t xml:space="preserve">for </w:t>
            </w:r>
            <w:r w:rsidRPr="00257550">
              <w:rPr>
                <w:rFonts w:ascii="Arial" w:hAnsi="Arial" w:cs="Arial"/>
                <w:sz w:val="20"/>
                <w:szCs w:val="20"/>
                <w:lang w:val="en-GB"/>
              </w:rPr>
              <w:t>soil carbon inventories.</w:t>
            </w:r>
          </w:p>
          <w:p w:rsidR="00624B1E" w:rsidRPr="001112A9" w:rsidRDefault="00624B1E" w:rsidP="00624B1E">
            <w:pPr>
              <w:rPr>
                <w:rFonts w:ascii="Arial" w:hAnsi="Arial" w:cs="Arial"/>
                <w:sz w:val="20"/>
                <w:szCs w:val="20"/>
                <w:lang w:val="en-GB"/>
              </w:rPr>
            </w:pPr>
            <w:r w:rsidRPr="00624B1E">
              <w:rPr>
                <w:rFonts w:ascii="Arial" w:hAnsi="Arial" w:cs="Arial"/>
                <w:sz w:val="20"/>
                <w:szCs w:val="20"/>
                <w:lang w:val="en-GB"/>
              </w:rPr>
              <w:t>Repeated measurements of carbon stocks in</w:t>
            </w:r>
            <w:r>
              <w:rPr>
                <w:rFonts w:ascii="Arial" w:hAnsi="Arial" w:cs="Arial"/>
                <w:sz w:val="20"/>
                <w:szCs w:val="20"/>
                <w:lang w:val="en-GB"/>
              </w:rPr>
              <w:t xml:space="preserve"> </w:t>
            </w:r>
            <w:r w:rsidRPr="00624B1E">
              <w:rPr>
                <w:rFonts w:ascii="Arial" w:hAnsi="Arial" w:cs="Arial"/>
                <w:sz w:val="20"/>
                <w:szCs w:val="20"/>
                <w:lang w:val="en-GB"/>
              </w:rPr>
              <w:t xml:space="preserve">time </w:t>
            </w:r>
            <w:r>
              <w:rPr>
                <w:rFonts w:ascii="Arial" w:hAnsi="Arial" w:cs="Arial"/>
                <w:sz w:val="20"/>
                <w:szCs w:val="20"/>
                <w:lang w:val="en-GB"/>
              </w:rPr>
              <w:t xml:space="preserve">allow </w:t>
            </w:r>
            <w:r w:rsidRPr="00624B1E">
              <w:rPr>
                <w:rFonts w:ascii="Arial" w:hAnsi="Arial" w:cs="Arial"/>
                <w:sz w:val="20"/>
                <w:szCs w:val="20"/>
                <w:lang w:val="en-GB"/>
              </w:rPr>
              <w:t>improv</w:t>
            </w:r>
            <w:r>
              <w:rPr>
                <w:rFonts w:ascii="Arial" w:hAnsi="Arial" w:cs="Arial"/>
                <w:sz w:val="20"/>
                <w:szCs w:val="20"/>
                <w:lang w:val="en-GB"/>
              </w:rPr>
              <w:t>ing</w:t>
            </w:r>
            <w:r w:rsidRPr="00624B1E">
              <w:rPr>
                <w:rFonts w:ascii="Arial" w:hAnsi="Arial" w:cs="Arial"/>
                <w:sz w:val="20"/>
                <w:szCs w:val="20"/>
                <w:lang w:val="en-GB"/>
              </w:rPr>
              <w:t xml:space="preserve"> the calibration of models, the estimation</w:t>
            </w:r>
            <w:r>
              <w:rPr>
                <w:rFonts w:ascii="Arial" w:hAnsi="Arial" w:cs="Arial"/>
                <w:sz w:val="20"/>
                <w:szCs w:val="20"/>
                <w:lang w:val="en-GB"/>
              </w:rPr>
              <w:t xml:space="preserve"> </w:t>
            </w:r>
            <w:r w:rsidRPr="00624B1E">
              <w:rPr>
                <w:rFonts w:ascii="Arial" w:hAnsi="Arial" w:cs="Arial"/>
                <w:sz w:val="20"/>
                <w:szCs w:val="20"/>
                <w:lang w:val="en-GB"/>
              </w:rPr>
              <w:t>of the</w:t>
            </w:r>
            <w:r>
              <w:rPr>
                <w:rFonts w:ascii="Arial" w:hAnsi="Arial" w:cs="Arial"/>
                <w:sz w:val="20"/>
                <w:szCs w:val="20"/>
                <w:lang w:val="en-GB"/>
              </w:rPr>
              <w:t>ir</w:t>
            </w:r>
            <w:r w:rsidRPr="00624B1E">
              <w:rPr>
                <w:rFonts w:ascii="Arial" w:hAnsi="Arial" w:cs="Arial"/>
                <w:sz w:val="20"/>
                <w:szCs w:val="20"/>
                <w:lang w:val="en-GB"/>
              </w:rPr>
              <w:t xml:space="preserve"> evolution and</w:t>
            </w:r>
            <w:r>
              <w:rPr>
                <w:rFonts w:ascii="Arial" w:hAnsi="Arial" w:cs="Arial"/>
                <w:sz w:val="20"/>
                <w:szCs w:val="20"/>
                <w:lang w:val="en-GB"/>
              </w:rPr>
              <w:t xml:space="preserve"> </w:t>
            </w:r>
            <w:r w:rsidRPr="00624B1E">
              <w:rPr>
                <w:rFonts w:ascii="Arial" w:hAnsi="Arial" w:cs="Arial"/>
                <w:sz w:val="20"/>
                <w:szCs w:val="20"/>
                <w:lang w:val="en-GB"/>
              </w:rPr>
              <w:t>quantification of the influence of factors such as</w:t>
            </w:r>
            <w:r>
              <w:rPr>
                <w:rFonts w:ascii="Arial" w:hAnsi="Arial" w:cs="Arial"/>
                <w:sz w:val="20"/>
                <w:szCs w:val="20"/>
                <w:lang w:val="en-GB"/>
              </w:rPr>
              <w:t xml:space="preserve"> changes in </w:t>
            </w:r>
            <w:r w:rsidRPr="00624B1E">
              <w:rPr>
                <w:rFonts w:ascii="Arial" w:hAnsi="Arial" w:cs="Arial"/>
                <w:sz w:val="20"/>
                <w:szCs w:val="20"/>
                <w:lang w:val="en-GB"/>
              </w:rPr>
              <w:t xml:space="preserve">climate </w:t>
            </w:r>
            <w:r>
              <w:rPr>
                <w:rFonts w:ascii="Arial" w:hAnsi="Arial" w:cs="Arial"/>
                <w:sz w:val="20"/>
                <w:szCs w:val="20"/>
                <w:lang w:val="en-GB"/>
              </w:rPr>
              <w:t>and</w:t>
            </w:r>
            <w:r w:rsidRPr="00624B1E">
              <w:rPr>
                <w:rFonts w:ascii="Arial" w:hAnsi="Arial" w:cs="Arial"/>
                <w:sz w:val="20"/>
                <w:szCs w:val="20"/>
                <w:lang w:val="en-GB"/>
              </w:rPr>
              <w:t xml:space="preserve"> land use</w:t>
            </w:r>
            <w:r>
              <w:rPr>
                <w:rFonts w:ascii="Arial" w:hAnsi="Arial" w:cs="Arial"/>
                <w:sz w:val="20"/>
                <w:szCs w:val="20"/>
                <w:lang w:val="en-GB"/>
              </w:rPr>
              <w:t>.</w:t>
            </w:r>
          </w:p>
        </w:tc>
      </w:tr>
      <w:tr w:rsidR="001112A9" w:rsidRPr="001112A9" w:rsidTr="002C7084">
        <w:tc>
          <w:tcPr>
            <w:tcW w:w="2802" w:type="dxa"/>
          </w:tcPr>
          <w:p w:rsidR="001112A9" w:rsidRPr="001112A9" w:rsidRDefault="001112A9" w:rsidP="002C7084">
            <w:pPr>
              <w:jc w:val="left"/>
              <w:rPr>
                <w:rFonts w:ascii="Arial" w:hAnsi="Arial" w:cs="Arial"/>
                <w:i/>
                <w:sz w:val="20"/>
                <w:szCs w:val="20"/>
                <w:lang w:val="en-GB"/>
              </w:rPr>
            </w:pPr>
            <w:r w:rsidRPr="001112A9">
              <w:rPr>
                <w:rFonts w:ascii="Arial" w:hAnsi="Arial" w:cs="Arial"/>
                <w:i/>
                <w:sz w:val="20"/>
                <w:szCs w:val="20"/>
                <w:lang w:val="en-GB"/>
              </w:rPr>
              <w:t xml:space="preserve">Other </w:t>
            </w:r>
          </w:p>
        </w:tc>
        <w:tc>
          <w:tcPr>
            <w:tcW w:w="7052" w:type="dxa"/>
            <w:shd w:val="clear" w:color="auto" w:fill="FFFF00"/>
          </w:tcPr>
          <w:p w:rsidR="001112A9" w:rsidRPr="001112A9" w:rsidRDefault="001112A9" w:rsidP="001112A9">
            <w:pPr>
              <w:rPr>
                <w:rFonts w:ascii="Arial" w:hAnsi="Arial" w:cs="Arial"/>
                <w:sz w:val="20"/>
                <w:szCs w:val="20"/>
                <w:lang w:val="en-GB"/>
              </w:rPr>
            </w:pPr>
          </w:p>
        </w:tc>
      </w:tr>
    </w:tbl>
    <w:p w:rsidR="002C7084" w:rsidRPr="001112A9" w:rsidRDefault="002C7084" w:rsidP="002C7084">
      <w:pPr>
        <w:rPr>
          <w:rFonts w:ascii="Arial" w:hAnsi="Arial" w:cs="Arial"/>
          <w:sz w:val="20"/>
          <w:szCs w:val="20"/>
          <w:lang w:val="en-GB"/>
        </w:rPr>
      </w:pPr>
    </w:p>
    <w:sectPr w:rsidR="002C7084" w:rsidRPr="001112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96784"/>
    <w:multiLevelType w:val="hybridMultilevel"/>
    <w:tmpl w:val="0F72C8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3817A68"/>
    <w:multiLevelType w:val="hybridMultilevel"/>
    <w:tmpl w:val="4FA61B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2A9"/>
    <w:rsid w:val="000129FE"/>
    <w:rsid w:val="000B5053"/>
    <w:rsid w:val="000E5F9E"/>
    <w:rsid w:val="001112A9"/>
    <w:rsid w:val="00190598"/>
    <w:rsid w:val="00240D83"/>
    <w:rsid w:val="00257550"/>
    <w:rsid w:val="00297093"/>
    <w:rsid w:val="002C7084"/>
    <w:rsid w:val="002D69F6"/>
    <w:rsid w:val="00307280"/>
    <w:rsid w:val="00357FA0"/>
    <w:rsid w:val="003971D5"/>
    <w:rsid w:val="003E324E"/>
    <w:rsid w:val="00411632"/>
    <w:rsid w:val="00447076"/>
    <w:rsid w:val="00501DAF"/>
    <w:rsid w:val="005A3953"/>
    <w:rsid w:val="005A43DA"/>
    <w:rsid w:val="00624B1E"/>
    <w:rsid w:val="00634829"/>
    <w:rsid w:val="00655F6D"/>
    <w:rsid w:val="0070655A"/>
    <w:rsid w:val="00747ECC"/>
    <w:rsid w:val="00795E20"/>
    <w:rsid w:val="0080434E"/>
    <w:rsid w:val="008E45C4"/>
    <w:rsid w:val="009629CC"/>
    <w:rsid w:val="00A53B92"/>
    <w:rsid w:val="00AA01A2"/>
    <w:rsid w:val="00BF020F"/>
    <w:rsid w:val="00C70A16"/>
    <w:rsid w:val="00C93270"/>
    <w:rsid w:val="00CB694F"/>
    <w:rsid w:val="00E3441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37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1A2"/>
    <w:pPr>
      <w:spacing w:after="0" w:line="240" w:lineRule="auto"/>
      <w:jc w:val="both"/>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112A9"/>
    <w:rPr>
      <w:color w:val="0000FF" w:themeColor="hyperlink"/>
      <w:u w:val="single"/>
    </w:rPr>
  </w:style>
  <w:style w:type="table" w:styleId="Grigliatabella">
    <w:name w:val="Table Grid"/>
    <w:basedOn w:val="Tabellanormale"/>
    <w:uiPriority w:val="59"/>
    <w:rsid w:val="00111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E45C4"/>
    <w:pPr>
      <w:ind w:left="720"/>
      <w:contextualSpacing/>
    </w:pPr>
  </w:style>
  <w:style w:type="paragraph" w:styleId="Testofumetto">
    <w:name w:val="Balloon Text"/>
    <w:basedOn w:val="Normale"/>
    <w:link w:val="TestofumettoCarattere"/>
    <w:uiPriority w:val="99"/>
    <w:semiHidden/>
    <w:unhideWhenUsed/>
    <w:rsid w:val="0025755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75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1A2"/>
    <w:pPr>
      <w:spacing w:after="0" w:line="240" w:lineRule="auto"/>
      <w:jc w:val="both"/>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112A9"/>
    <w:rPr>
      <w:color w:val="0000FF" w:themeColor="hyperlink"/>
      <w:u w:val="single"/>
    </w:rPr>
  </w:style>
  <w:style w:type="table" w:styleId="Grigliatabella">
    <w:name w:val="Table Grid"/>
    <w:basedOn w:val="Tabellanormale"/>
    <w:uiPriority w:val="59"/>
    <w:rsid w:val="00111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E45C4"/>
    <w:pPr>
      <w:ind w:left="720"/>
      <w:contextualSpacing/>
    </w:pPr>
  </w:style>
  <w:style w:type="paragraph" w:styleId="Testofumetto">
    <w:name w:val="Balloon Text"/>
    <w:basedOn w:val="Normale"/>
    <w:link w:val="TestofumettoCarattere"/>
    <w:uiPriority w:val="99"/>
    <w:semiHidden/>
    <w:unhideWhenUsed/>
    <w:rsid w:val="0025755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75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30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asa.ac.at/collections/IIASA_Research/Research/FOR/russia_cd/download.htm" TargetMode="External"/><Relationship Id="rId3" Type="http://schemas.microsoft.com/office/2007/relationships/stylesWithEffects" Target="stylesWithEffects.xml"/><Relationship Id="rId7" Type="http://schemas.openxmlformats.org/officeDocument/2006/relationships/hyperlink" Target="http://rdgs.dk/djg/pdfs/106/1/0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ric.org/isric/webdocs/docs//ISRIC_Report_2008_02.pdf?q=isric/Webdocs/Docs/ISRIC_Report_2008_02.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1267</Words>
  <Characters>7223</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Antonio Bombelli</dc:creator>
  <cp:lastModifiedBy>Antonio Bombelli</cp:lastModifiedBy>
  <cp:revision>2</cp:revision>
  <dcterms:created xsi:type="dcterms:W3CDTF">2015-03-24T13:20:00Z</dcterms:created>
  <dcterms:modified xsi:type="dcterms:W3CDTF">2015-03-24T13:20:00Z</dcterms:modified>
</cp:coreProperties>
</file>